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FCF1" w14:textId="7FA0ABBF" w:rsidR="00AE49FD" w:rsidRPr="002226F3" w:rsidRDefault="002226F3" w:rsidP="00AE49FD">
      <w:pPr>
        <w:spacing w:before="240" w:after="240"/>
        <w:jc w:val="right"/>
        <w:rPr>
          <w:rFonts w:cs="Times New Roman"/>
          <w:b/>
          <w:bCs/>
          <w:i/>
          <w:iCs/>
        </w:rPr>
      </w:pPr>
      <w:r w:rsidRPr="002226F3">
        <w:rPr>
          <w:rFonts w:cs="Times New Roman"/>
          <w:b/>
          <w:bCs/>
          <w:i/>
          <w:iCs/>
        </w:rPr>
        <w:t>https://doi.org/10.23913/ride.v11i22.968</w:t>
      </w:r>
    </w:p>
    <w:p w14:paraId="51C96323" w14:textId="78B11BAD" w:rsidR="00AE49FD" w:rsidRDefault="00AE49FD" w:rsidP="00AE49FD">
      <w:pPr>
        <w:spacing w:before="240" w:after="240"/>
        <w:jc w:val="right"/>
        <w:rPr>
          <w:rFonts w:cs="Times New Roman"/>
          <w:b/>
          <w:sz w:val="32"/>
          <w:szCs w:val="32"/>
          <w:lang w:val="es-ES"/>
        </w:rPr>
      </w:pPr>
      <w:r w:rsidRPr="004017CE">
        <w:rPr>
          <w:rFonts w:cs="Times New Roman"/>
          <w:b/>
          <w:bCs/>
          <w:i/>
          <w:iCs/>
        </w:rPr>
        <w:t>Artículos científicos</w:t>
      </w:r>
    </w:p>
    <w:p w14:paraId="35672202" w14:textId="6EF89718" w:rsidR="000850FC" w:rsidRPr="00AE49FD" w:rsidRDefault="000850FC" w:rsidP="00AE49FD">
      <w:pPr>
        <w:spacing w:line="276" w:lineRule="auto"/>
        <w:jc w:val="right"/>
        <w:rPr>
          <w:rFonts w:ascii="Calibri" w:eastAsia="Times New Roman" w:hAnsi="Calibri" w:cs="Calibri"/>
          <w:b/>
          <w:color w:val="000000" w:themeColor="text1"/>
          <w:sz w:val="36"/>
          <w:szCs w:val="36"/>
          <w:lang w:eastAsia="es-MX"/>
        </w:rPr>
      </w:pPr>
      <w:r w:rsidRPr="00AE49FD">
        <w:rPr>
          <w:rFonts w:ascii="Calibri" w:eastAsia="Times New Roman" w:hAnsi="Calibri" w:cs="Calibri"/>
          <w:b/>
          <w:color w:val="000000" w:themeColor="text1"/>
          <w:sz w:val="36"/>
          <w:szCs w:val="36"/>
          <w:lang w:eastAsia="es-MX"/>
        </w:rPr>
        <w:t>Competencias docentes para la educación en línea</w:t>
      </w:r>
    </w:p>
    <w:p w14:paraId="50907FE4" w14:textId="1DB7C035" w:rsidR="000850FC" w:rsidRPr="00F408C7" w:rsidRDefault="00AE49FD" w:rsidP="00AE49FD">
      <w:pPr>
        <w:spacing w:line="276" w:lineRule="auto"/>
        <w:jc w:val="right"/>
        <w:rPr>
          <w:rFonts w:ascii="Calibri" w:eastAsia="Times New Roman" w:hAnsi="Calibri" w:cs="Calibri"/>
          <w:b/>
          <w:i/>
          <w:iCs/>
          <w:color w:val="000000" w:themeColor="text1"/>
          <w:sz w:val="28"/>
          <w:szCs w:val="28"/>
          <w:lang w:val="en-US" w:eastAsia="es-MX"/>
        </w:rPr>
      </w:pPr>
      <w:r w:rsidRPr="002226F3">
        <w:rPr>
          <w:rFonts w:ascii="Calibri" w:eastAsia="Times New Roman" w:hAnsi="Calibri" w:cs="Calibri"/>
          <w:b/>
          <w:i/>
          <w:iCs/>
          <w:color w:val="000000" w:themeColor="text1"/>
          <w:sz w:val="28"/>
          <w:szCs w:val="28"/>
          <w:lang w:eastAsia="es-MX"/>
        </w:rPr>
        <w:br/>
      </w:r>
      <w:proofErr w:type="gramStart"/>
      <w:r w:rsidR="000850FC" w:rsidRPr="00F408C7">
        <w:rPr>
          <w:rFonts w:ascii="Calibri" w:eastAsia="Times New Roman" w:hAnsi="Calibri" w:cs="Calibri"/>
          <w:b/>
          <w:i/>
          <w:iCs/>
          <w:color w:val="000000" w:themeColor="text1"/>
          <w:sz w:val="28"/>
          <w:szCs w:val="28"/>
          <w:lang w:val="en-US" w:eastAsia="es-MX"/>
        </w:rPr>
        <w:t>Teachers</w:t>
      </w:r>
      <w:proofErr w:type="gramEnd"/>
      <w:r w:rsidR="000850FC" w:rsidRPr="00F408C7">
        <w:rPr>
          <w:rFonts w:ascii="Calibri" w:eastAsia="Times New Roman" w:hAnsi="Calibri" w:cs="Calibri"/>
          <w:b/>
          <w:i/>
          <w:iCs/>
          <w:color w:val="000000" w:themeColor="text1"/>
          <w:sz w:val="28"/>
          <w:szCs w:val="28"/>
          <w:lang w:val="en-US" w:eastAsia="es-MX"/>
        </w:rPr>
        <w:t xml:space="preserve"> competencies for on-line education</w:t>
      </w:r>
    </w:p>
    <w:p w14:paraId="58B3EC2F" w14:textId="2D5564E2" w:rsidR="00AE49FD" w:rsidRPr="00AE49FD" w:rsidRDefault="00AE49FD" w:rsidP="00AE49FD">
      <w:pPr>
        <w:spacing w:line="276" w:lineRule="auto"/>
        <w:jc w:val="right"/>
        <w:rPr>
          <w:rFonts w:ascii="Calibri" w:eastAsia="Times New Roman" w:hAnsi="Calibri" w:cs="Calibri"/>
          <w:b/>
          <w:i/>
          <w:iCs/>
          <w:color w:val="000000" w:themeColor="text1"/>
          <w:sz w:val="28"/>
          <w:szCs w:val="28"/>
          <w:lang w:eastAsia="es-MX"/>
        </w:rPr>
      </w:pPr>
      <w:r w:rsidRPr="002226F3">
        <w:rPr>
          <w:rFonts w:ascii="Calibri" w:eastAsia="Times New Roman" w:hAnsi="Calibri" w:cs="Calibri"/>
          <w:b/>
          <w:i/>
          <w:iCs/>
          <w:color w:val="000000" w:themeColor="text1"/>
          <w:sz w:val="28"/>
          <w:szCs w:val="28"/>
          <w:lang w:eastAsia="es-MX"/>
        </w:rPr>
        <w:br/>
      </w:r>
      <w:proofErr w:type="spellStart"/>
      <w:r w:rsidRPr="00AE49FD">
        <w:rPr>
          <w:rFonts w:ascii="Calibri" w:eastAsia="Times New Roman" w:hAnsi="Calibri" w:cs="Calibri"/>
          <w:b/>
          <w:i/>
          <w:iCs/>
          <w:color w:val="000000" w:themeColor="text1"/>
          <w:sz w:val="28"/>
          <w:szCs w:val="28"/>
          <w:lang w:eastAsia="es-MX"/>
        </w:rPr>
        <w:t>Competências</w:t>
      </w:r>
      <w:proofErr w:type="spellEnd"/>
      <w:r w:rsidRPr="00AE49FD">
        <w:rPr>
          <w:rFonts w:ascii="Calibri" w:eastAsia="Times New Roman" w:hAnsi="Calibri" w:cs="Calibri"/>
          <w:b/>
          <w:i/>
          <w:iCs/>
          <w:color w:val="000000" w:themeColor="text1"/>
          <w:sz w:val="28"/>
          <w:szCs w:val="28"/>
          <w:lang w:eastAsia="es-MX"/>
        </w:rPr>
        <w:t xml:space="preserve"> de </w:t>
      </w:r>
      <w:proofErr w:type="spellStart"/>
      <w:r w:rsidRPr="00AE49FD">
        <w:rPr>
          <w:rFonts w:ascii="Calibri" w:eastAsia="Times New Roman" w:hAnsi="Calibri" w:cs="Calibri"/>
          <w:b/>
          <w:i/>
          <w:iCs/>
          <w:color w:val="000000" w:themeColor="text1"/>
          <w:sz w:val="28"/>
          <w:szCs w:val="28"/>
          <w:lang w:eastAsia="es-MX"/>
        </w:rPr>
        <w:t>ensino</w:t>
      </w:r>
      <w:proofErr w:type="spellEnd"/>
      <w:r w:rsidRPr="00AE49FD">
        <w:rPr>
          <w:rFonts w:ascii="Calibri" w:eastAsia="Times New Roman" w:hAnsi="Calibri" w:cs="Calibri"/>
          <w:b/>
          <w:i/>
          <w:iCs/>
          <w:color w:val="000000" w:themeColor="text1"/>
          <w:sz w:val="28"/>
          <w:szCs w:val="28"/>
          <w:lang w:eastAsia="es-MX"/>
        </w:rPr>
        <w:t xml:space="preserve"> para educação online</w:t>
      </w:r>
    </w:p>
    <w:p w14:paraId="52872D83" w14:textId="5879B1A0" w:rsidR="000850FC" w:rsidRPr="00AE49FD" w:rsidRDefault="00AE49FD" w:rsidP="002226F3">
      <w:pPr>
        <w:spacing w:line="276" w:lineRule="auto"/>
        <w:jc w:val="right"/>
        <w:rPr>
          <w:rFonts w:asciiTheme="minorHAnsi" w:hAnsiTheme="minorHAnsi" w:cstheme="minorHAnsi"/>
          <w:b/>
          <w:bCs/>
          <w:szCs w:val="32"/>
        </w:rPr>
      </w:pPr>
      <w:r>
        <w:rPr>
          <w:rFonts w:cs="Times New Roman"/>
          <w:sz w:val="21"/>
        </w:rPr>
        <w:br/>
      </w:r>
      <w:r w:rsidR="000850FC" w:rsidRPr="00AE49FD">
        <w:rPr>
          <w:rFonts w:asciiTheme="minorHAnsi" w:hAnsiTheme="minorHAnsi" w:cstheme="minorHAnsi"/>
          <w:b/>
          <w:bCs/>
          <w:szCs w:val="32"/>
        </w:rPr>
        <w:t>Nancy Domínguez González</w:t>
      </w:r>
    </w:p>
    <w:p w14:paraId="4DB5CE8C" w14:textId="0D32BBF1" w:rsidR="00AE49FD" w:rsidRDefault="00AE49FD" w:rsidP="002226F3">
      <w:pPr>
        <w:spacing w:line="276" w:lineRule="auto"/>
        <w:jc w:val="right"/>
        <w:rPr>
          <w:rFonts w:cs="Times New Roman"/>
          <w:szCs w:val="32"/>
        </w:rPr>
      </w:pPr>
      <w:r w:rsidRPr="00AE49FD">
        <w:rPr>
          <w:rFonts w:cs="Times New Roman"/>
          <w:szCs w:val="32"/>
        </w:rPr>
        <w:t>Universidad Veracruzana</w:t>
      </w:r>
      <w:r>
        <w:rPr>
          <w:rFonts w:cs="Times New Roman"/>
          <w:szCs w:val="32"/>
        </w:rPr>
        <w:t>, México</w:t>
      </w:r>
    </w:p>
    <w:p w14:paraId="6E60CFD5" w14:textId="131222EE" w:rsidR="002226F3" w:rsidRDefault="002226F3" w:rsidP="002226F3">
      <w:pPr>
        <w:spacing w:line="276" w:lineRule="auto"/>
        <w:jc w:val="right"/>
        <w:rPr>
          <w:rFonts w:cs="Times New Roman"/>
          <w:szCs w:val="32"/>
        </w:rPr>
      </w:pPr>
      <w:r w:rsidRPr="00AE49FD">
        <w:rPr>
          <w:rFonts w:asciiTheme="minorHAnsi" w:hAnsiTheme="minorHAnsi" w:cstheme="minorHAnsi"/>
          <w:color w:val="FF0000"/>
          <w:szCs w:val="32"/>
        </w:rPr>
        <w:t>nadominguez@uv.mx</w:t>
      </w:r>
    </w:p>
    <w:p w14:paraId="2FF566CE" w14:textId="12526EE3" w:rsidR="00F408C7" w:rsidRPr="002226F3" w:rsidRDefault="00F408C7" w:rsidP="002226F3">
      <w:pPr>
        <w:spacing w:line="276" w:lineRule="auto"/>
        <w:jc w:val="right"/>
        <w:rPr>
          <w:rFonts w:cs="Times New Roman"/>
          <w:szCs w:val="32"/>
          <w:lang w:val="en-US"/>
        </w:rPr>
      </w:pPr>
      <w:r w:rsidRPr="002226F3">
        <w:rPr>
          <w:rFonts w:cs="Times New Roman"/>
          <w:szCs w:val="32"/>
          <w:lang w:val="en-US"/>
        </w:rPr>
        <w:t xml:space="preserve">https://orcid.org/0000-0002-5422-2309 </w:t>
      </w:r>
    </w:p>
    <w:p w14:paraId="7345349B" w14:textId="74EBE211" w:rsidR="000850FC" w:rsidRPr="002226F3" w:rsidRDefault="00AE49FD" w:rsidP="002226F3">
      <w:pPr>
        <w:spacing w:line="276" w:lineRule="auto"/>
        <w:jc w:val="right"/>
        <w:rPr>
          <w:rFonts w:asciiTheme="minorHAnsi" w:hAnsiTheme="minorHAnsi" w:cstheme="minorHAnsi"/>
          <w:b/>
          <w:bCs/>
          <w:szCs w:val="32"/>
          <w:lang w:val="en-US"/>
        </w:rPr>
      </w:pPr>
      <w:r w:rsidRPr="002226F3">
        <w:rPr>
          <w:rFonts w:asciiTheme="minorHAnsi" w:hAnsiTheme="minorHAnsi" w:cstheme="minorHAnsi"/>
          <w:b/>
          <w:bCs/>
          <w:szCs w:val="32"/>
          <w:lang w:val="en-US"/>
        </w:rPr>
        <w:br/>
      </w:r>
      <w:r w:rsidR="000850FC" w:rsidRPr="002226F3">
        <w:rPr>
          <w:rFonts w:asciiTheme="minorHAnsi" w:hAnsiTheme="minorHAnsi" w:cstheme="minorHAnsi"/>
          <w:b/>
          <w:bCs/>
          <w:szCs w:val="32"/>
          <w:lang w:val="en-US"/>
        </w:rPr>
        <w:t>Daniel Serna Poot</w:t>
      </w:r>
    </w:p>
    <w:p w14:paraId="2397F09B" w14:textId="0FA373B5" w:rsidR="00AE49FD" w:rsidRDefault="00AE49FD" w:rsidP="002226F3">
      <w:pPr>
        <w:spacing w:line="276" w:lineRule="auto"/>
        <w:jc w:val="right"/>
        <w:rPr>
          <w:rFonts w:cs="Times New Roman"/>
          <w:szCs w:val="32"/>
        </w:rPr>
      </w:pPr>
      <w:r w:rsidRPr="00AE49FD">
        <w:rPr>
          <w:rFonts w:cs="Times New Roman"/>
          <w:szCs w:val="32"/>
        </w:rPr>
        <w:t>Universidad Veracruzana</w:t>
      </w:r>
      <w:r>
        <w:rPr>
          <w:rFonts w:cs="Times New Roman"/>
          <w:szCs w:val="32"/>
        </w:rPr>
        <w:t>, México</w:t>
      </w:r>
    </w:p>
    <w:p w14:paraId="0C9AA9F8" w14:textId="24773FF3" w:rsidR="002226F3" w:rsidRDefault="002226F3" w:rsidP="002226F3">
      <w:pPr>
        <w:spacing w:line="276" w:lineRule="auto"/>
        <w:jc w:val="right"/>
        <w:rPr>
          <w:rFonts w:cs="Times New Roman"/>
          <w:szCs w:val="32"/>
        </w:rPr>
      </w:pPr>
      <w:r w:rsidRPr="00AE49FD">
        <w:rPr>
          <w:rFonts w:asciiTheme="minorHAnsi" w:hAnsiTheme="minorHAnsi" w:cstheme="minorHAnsi"/>
          <w:color w:val="FF0000"/>
          <w:szCs w:val="32"/>
        </w:rPr>
        <w:t>dserna@uv.mx</w:t>
      </w:r>
    </w:p>
    <w:p w14:paraId="162D02A1" w14:textId="7F74B6DA" w:rsidR="00F408C7" w:rsidRPr="00AE49FD" w:rsidRDefault="00F408C7" w:rsidP="002226F3">
      <w:pPr>
        <w:spacing w:line="276" w:lineRule="auto"/>
        <w:jc w:val="right"/>
        <w:rPr>
          <w:rFonts w:cs="Times New Roman"/>
          <w:szCs w:val="32"/>
        </w:rPr>
      </w:pPr>
      <w:r w:rsidRPr="00F408C7">
        <w:rPr>
          <w:rFonts w:cs="Times New Roman"/>
          <w:szCs w:val="32"/>
        </w:rPr>
        <w:t>https://orcid.org/0000-0003-2541-785X</w:t>
      </w:r>
    </w:p>
    <w:p w14:paraId="410009C2" w14:textId="4A75434B" w:rsidR="000850FC" w:rsidRPr="00AE49FD" w:rsidRDefault="000850FC" w:rsidP="00AE49FD">
      <w:pPr>
        <w:spacing w:line="276" w:lineRule="auto"/>
        <w:jc w:val="right"/>
        <w:rPr>
          <w:rFonts w:asciiTheme="minorHAnsi" w:hAnsiTheme="minorHAnsi" w:cstheme="minorHAnsi"/>
          <w:color w:val="FF0000"/>
          <w:szCs w:val="32"/>
        </w:rPr>
      </w:pPr>
    </w:p>
    <w:p w14:paraId="722383EA" w14:textId="77777777" w:rsidR="000850FC" w:rsidRPr="00AE49FD" w:rsidRDefault="000850FC" w:rsidP="00AE49FD">
      <w:pPr>
        <w:rPr>
          <w:rFonts w:asciiTheme="minorHAnsi" w:hAnsiTheme="minorHAnsi" w:cstheme="minorHAnsi"/>
          <w:b/>
          <w:sz w:val="28"/>
          <w:szCs w:val="28"/>
          <w:lang w:val="es-ES"/>
        </w:rPr>
      </w:pPr>
      <w:r w:rsidRPr="00AE49FD">
        <w:rPr>
          <w:rFonts w:asciiTheme="minorHAnsi" w:hAnsiTheme="minorHAnsi" w:cstheme="minorHAnsi"/>
          <w:b/>
          <w:sz w:val="28"/>
          <w:szCs w:val="28"/>
          <w:lang w:val="es-ES"/>
        </w:rPr>
        <w:t>Resumen</w:t>
      </w:r>
    </w:p>
    <w:p w14:paraId="578891CE" w14:textId="77777777" w:rsidR="000850FC" w:rsidRPr="00071C2A" w:rsidRDefault="000850FC" w:rsidP="000850FC">
      <w:pPr>
        <w:rPr>
          <w:rFonts w:cs="Times New Roman"/>
        </w:rPr>
      </w:pPr>
      <w:r w:rsidRPr="00071C2A">
        <w:rPr>
          <w:rFonts w:cs="Times New Roman"/>
        </w:rPr>
        <w:t xml:space="preserve">Las competencias para la docencia en línea es un tema que requiere especial atención en sistemas educativos como el mexicano, </w:t>
      </w:r>
      <w:r w:rsidR="00207C58">
        <w:rPr>
          <w:rFonts w:cs="Times New Roman"/>
        </w:rPr>
        <w:t xml:space="preserve">el cual necesita </w:t>
      </w:r>
      <w:r w:rsidRPr="00071C2A">
        <w:rPr>
          <w:rFonts w:cs="Times New Roman"/>
        </w:rPr>
        <w:t xml:space="preserve">alternativas para </w:t>
      </w:r>
      <w:r w:rsidR="00207C58">
        <w:rPr>
          <w:rFonts w:cs="Times New Roman"/>
        </w:rPr>
        <w:t xml:space="preserve">facilitar </w:t>
      </w:r>
      <w:r w:rsidRPr="00071C2A">
        <w:rPr>
          <w:rFonts w:cs="Times New Roman"/>
        </w:rPr>
        <w:t xml:space="preserve">el acceso a la educación superior </w:t>
      </w:r>
      <w:r w:rsidR="00207C58">
        <w:rPr>
          <w:rFonts w:cs="Times New Roman"/>
        </w:rPr>
        <w:t xml:space="preserve">y para </w:t>
      </w:r>
      <w:r w:rsidRPr="00071C2A">
        <w:rPr>
          <w:rFonts w:cs="Times New Roman"/>
        </w:rPr>
        <w:t xml:space="preserve">superar las limitaciones de tiempo y espacio que </w:t>
      </w:r>
      <w:r w:rsidR="00207C58" w:rsidRPr="00071C2A">
        <w:rPr>
          <w:rFonts w:cs="Times New Roman"/>
        </w:rPr>
        <w:t xml:space="preserve">tiene </w:t>
      </w:r>
      <w:r w:rsidRPr="00071C2A">
        <w:rPr>
          <w:rFonts w:cs="Times New Roman"/>
        </w:rPr>
        <w:t>la mayor parte de la población.</w:t>
      </w:r>
      <w:r>
        <w:rPr>
          <w:rFonts w:cs="Times New Roman"/>
        </w:rPr>
        <w:t xml:space="preserve"> </w:t>
      </w:r>
      <w:r w:rsidR="00E166A6">
        <w:rPr>
          <w:rFonts w:cs="Times New Roman"/>
        </w:rPr>
        <w:t>En tal sentido, en el presente documento se ofrece una</w:t>
      </w:r>
      <w:r w:rsidRPr="00071C2A">
        <w:rPr>
          <w:rFonts w:cs="Times New Roman"/>
        </w:rPr>
        <w:t xml:space="preserve"> investigación de corte </w:t>
      </w:r>
      <w:r w:rsidR="007F649E" w:rsidRPr="00071C2A">
        <w:rPr>
          <w:rFonts w:cs="Times New Roman"/>
        </w:rPr>
        <w:t>cuantitativo</w:t>
      </w:r>
      <w:r w:rsidR="007F649E">
        <w:rPr>
          <w:rFonts w:cs="Times New Roman"/>
        </w:rPr>
        <w:t>. En concreto, y a</w:t>
      </w:r>
      <w:r w:rsidRPr="00071C2A">
        <w:rPr>
          <w:rFonts w:cs="Times New Roman"/>
        </w:rPr>
        <w:t xml:space="preserve"> partir de la construcción de un modelo teórico de competencias para la docencia en línea, se analizar</w:t>
      </w:r>
      <w:r w:rsidR="007F649E">
        <w:rPr>
          <w:rFonts w:cs="Times New Roman"/>
        </w:rPr>
        <w:t>on</w:t>
      </w:r>
      <w:r w:rsidRPr="00071C2A">
        <w:rPr>
          <w:rFonts w:cs="Times New Roman"/>
        </w:rPr>
        <w:t xml:space="preserve"> </w:t>
      </w:r>
      <w:r w:rsidR="007F649E">
        <w:rPr>
          <w:rFonts w:cs="Times New Roman"/>
        </w:rPr>
        <w:t>(</w:t>
      </w:r>
      <w:r w:rsidR="007F649E" w:rsidRPr="00071C2A">
        <w:rPr>
          <w:rFonts w:cs="Times New Roman"/>
        </w:rPr>
        <w:t>desde la perspectiva de los estudiantes y empleando como referente de contraste las opiniones de gestores de cada uno de los programas que participaron en el estudio y el modelo educativo institucional</w:t>
      </w:r>
      <w:r w:rsidR="007F649E">
        <w:rPr>
          <w:rFonts w:cs="Times New Roman"/>
        </w:rPr>
        <w:t xml:space="preserve">) </w:t>
      </w:r>
      <w:r w:rsidRPr="00071C2A">
        <w:rPr>
          <w:rFonts w:cs="Times New Roman"/>
        </w:rPr>
        <w:t xml:space="preserve">las competencias </w:t>
      </w:r>
      <w:r w:rsidR="007F649E">
        <w:rPr>
          <w:rFonts w:cs="Times New Roman"/>
        </w:rPr>
        <w:t>de</w:t>
      </w:r>
      <w:r w:rsidRPr="00071C2A">
        <w:rPr>
          <w:rFonts w:cs="Times New Roman"/>
        </w:rPr>
        <w:t xml:space="preserve"> los docentes en línea considerados con </w:t>
      </w:r>
      <w:r w:rsidR="00BE06E3">
        <w:rPr>
          <w:rFonts w:cs="Times New Roman"/>
        </w:rPr>
        <w:t xml:space="preserve">un </w:t>
      </w:r>
      <w:r w:rsidRPr="00071C2A">
        <w:rPr>
          <w:rFonts w:cs="Times New Roman"/>
        </w:rPr>
        <w:t>alto nivel de desempeño en el contexto de seis universidades públicas de México.</w:t>
      </w:r>
      <w:r>
        <w:rPr>
          <w:rFonts w:cs="Times New Roman"/>
        </w:rPr>
        <w:t xml:space="preserve"> </w:t>
      </w:r>
      <w:r w:rsidRPr="00071C2A">
        <w:rPr>
          <w:rFonts w:cs="Times New Roman"/>
        </w:rPr>
        <w:t xml:space="preserve">Los resultados obtenidos presentan a la docencia en línea como de alto nivel de competencia en </w:t>
      </w:r>
      <w:r w:rsidR="007F649E">
        <w:rPr>
          <w:rFonts w:cs="Times New Roman"/>
        </w:rPr>
        <w:t xml:space="preserve">las </w:t>
      </w:r>
      <w:r w:rsidRPr="00071C2A">
        <w:rPr>
          <w:rFonts w:cs="Times New Roman"/>
        </w:rPr>
        <w:t xml:space="preserve">seis universidades </w:t>
      </w:r>
      <w:r w:rsidR="007F649E">
        <w:rPr>
          <w:rFonts w:cs="Times New Roman"/>
        </w:rPr>
        <w:t>analizadas. Asimismo,</w:t>
      </w:r>
      <w:r w:rsidRPr="00071C2A">
        <w:rPr>
          <w:rFonts w:cs="Times New Roman"/>
        </w:rPr>
        <w:t xml:space="preserve"> la </w:t>
      </w:r>
      <w:r w:rsidR="00BE06E3">
        <w:rPr>
          <w:rFonts w:cs="Times New Roman"/>
        </w:rPr>
        <w:t>respuesta</w:t>
      </w:r>
      <w:r w:rsidRPr="00071C2A">
        <w:rPr>
          <w:rFonts w:cs="Times New Roman"/>
        </w:rPr>
        <w:t xml:space="preserve"> de los estudiantes permite identificar un perfil </w:t>
      </w:r>
      <w:r w:rsidR="007F649E" w:rsidRPr="00071C2A">
        <w:rPr>
          <w:rFonts w:cs="Times New Roman"/>
        </w:rPr>
        <w:t xml:space="preserve">homogéneo </w:t>
      </w:r>
      <w:r w:rsidRPr="00071C2A">
        <w:rPr>
          <w:rFonts w:cs="Times New Roman"/>
        </w:rPr>
        <w:t>del docente en línea en el panorama educativo nacional</w:t>
      </w:r>
      <w:r w:rsidR="007F649E">
        <w:rPr>
          <w:rFonts w:cs="Times New Roman"/>
        </w:rPr>
        <w:t>;</w:t>
      </w:r>
      <w:r w:rsidRPr="00071C2A">
        <w:rPr>
          <w:rFonts w:cs="Times New Roman"/>
        </w:rPr>
        <w:t xml:space="preserve"> sin embargo, existen áreas de oportunidad y </w:t>
      </w:r>
      <w:r w:rsidR="007F649E">
        <w:rPr>
          <w:rFonts w:cs="Times New Roman"/>
        </w:rPr>
        <w:t xml:space="preserve">de </w:t>
      </w:r>
      <w:r w:rsidRPr="00071C2A">
        <w:rPr>
          <w:rFonts w:cs="Times New Roman"/>
        </w:rPr>
        <w:t xml:space="preserve">mejora </w:t>
      </w:r>
      <w:r w:rsidR="007F649E">
        <w:rPr>
          <w:rFonts w:cs="Times New Roman"/>
        </w:rPr>
        <w:t xml:space="preserve">que </w:t>
      </w:r>
      <w:r w:rsidRPr="00071C2A">
        <w:rPr>
          <w:rFonts w:cs="Times New Roman"/>
        </w:rPr>
        <w:t>permitirá</w:t>
      </w:r>
      <w:r w:rsidR="007F649E">
        <w:rPr>
          <w:rFonts w:cs="Times New Roman"/>
        </w:rPr>
        <w:t>n</w:t>
      </w:r>
      <w:r w:rsidRPr="00071C2A">
        <w:rPr>
          <w:rFonts w:cs="Times New Roman"/>
        </w:rPr>
        <w:t xml:space="preserve"> </w:t>
      </w:r>
      <w:r>
        <w:rPr>
          <w:rFonts w:cs="Times New Roman"/>
        </w:rPr>
        <w:t>consolidar a</w:t>
      </w:r>
      <w:r w:rsidRPr="00071C2A">
        <w:rPr>
          <w:rFonts w:cs="Times New Roman"/>
        </w:rPr>
        <w:t xml:space="preserve"> la </w:t>
      </w:r>
      <w:r w:rsidR="00BE06E3">
        <w:rPr>
          <w:rFonts w:cs="Times New Roman"/>
        </w:rPr>
        <w:t>formación</w:t>
      </w:r>
      <w:r w:rsidRPr="00071C2A">
        <w:rPr>
          <w:rFonts w:cs="Times New Roman"/>
        </w:rPr>
        <w:t xml:space="preserve"> en línea como </w:t>
      </w:r>
      <w:r w:rsidR="007F649E">
        <w:rPr>
          <w:rFonts w:cs="Times New Roman"/>
        </w:rPr>
        <w:t xml:space="preserve">una </w:t>
      </w:r>
      <w:r w:rsidRPr="00071C2A">
        <w:rPr>
          <w:rFonts w:cs="Times New Roman"/>
        </w:rPr>
        <w:t>alternativa de calidad para la educación superior en México.</w:t>
      </w:r>
    </w:p>
    <w:p w14:paraId="2D4E77F5" w14:textId="77777777" w:rsidR="000850FC" w:rsidRDefault="000850FC" w:rsidP="000850FC">
      <w:pPr>
        <w:rPr>
          <w:rFonts w:cs="Times New Roman"/>
          <w:lang w:val="es-ES"/>
        </w:rPr>
      </w:pPr>
      <w:r w:rsidRPr="00AE49FD">
        <w:rPr>
          <w:rFonts w:asciiTheme="minorHAnsi" w:hAnsiTheme="minorHAnsi" w:cstheme="minorHAnsi"/>
          <w:b/>
          <w:sz w:val="28"/>
          <w:szCs w:val="28"/>
          <w:lang w:val="es-ES"/>
        </w:rPr>
        <w:lastRenderedPageBreak/>
        <w:t>Palabras clave:</w:t>
      </w:r>
      <w:r w:rsidRPr="00071C2A">
        <w:rPr>
          <w:rFonts w:cs="Times New Roman"/>
          <w:lang w:val="es-ES"/>
        </w:rPr>
        <w:t xml:space="preserve"> competencias, </w:t>
      </w:r>
      <w:r>
        <w:rPr>
          <w:rFonts w:cs="Times New Roman"/>
          <w:lang w:val="es-ES"/>
        </w:rPr>
        <w:t>d</w:t>
      </w:r>
      <w:r w:rsidRPr="00071C2A">
        <w:rPr>
          <w:rFonts w:cs="Times New Roman"/>
          <w:lang w:val="es-ES"/>
        </w:rPr>
        <w:t>ocencia, educación en línea</w:t>
      </w:r>
      <w:r>
        <w:rPr>
          <w:rFonts w:cs="Times New Roman"/>
          <w:lang w:val="es-ES"/>
        </w:rPr>
        <w:t>.</w:t>
      </w:r>
    </w:p>
    <w:p w14:paraId="365CCFF7" w14:textId="77777777" w:rsidR="000850FC" w:rsidRPr="00071C2A" w:rsidRDefault="000850FC" w:rsidP="000850FC">
      <w:pPr>
        <w:rPr>
          <w:rFonts w:cs="Times New Roman"/>
          <w:lang w:val="es-ES"/>
        </w:rPr>
      </w:pPr>
    </w:p>
    <w:p w14:paraId="21A30808" w14:textId="77777777" w:rsidR="000850FC" w:rsidRPr="00F408C7" w:rsidRDefault="000850FC" w:rsidP="00AE49FD">
      <w:pPr>
        <w:rPr>
          <w:rFonts w:asciiTheme="minorHAnsi" w:hAnsiTheme="minorHAnsi" w:cstheme="minorHAnsi"/>
          <w:b/>
          <w:sz w:val="28"/>
          <w:szCs w:val="28"/>
          <w:lang w:val="en-US"/>
        </w:rPr>
      </w:pPr>
      <w:r w:rsidRPr="00F408C7">
        <w:rPr>
          <w:rFonts w:asciiTheme="minorHAnsi" w:hAnsiTheme="minorHAnsi" w:cstheme="minorHAnsi"/>
          <w:b/>
          <w:sz w:val="28"/>
          <w:szCs w:val="28"/>
          <w:lang w:val="en-US"/>
        </w:rPr>
        <w:t>Abstract</w:t>
      </w:r>
    </w:p>
    <w:p w14:paraId="0677D175" w14:textId="77777777" w:rsidR="000850FC" w:rsidRPr="00071C2A" w:rsidRDefault="000850FC" w:rsidP="000850FC">
      <w:pPr>
        <w:rPr>
          <w:rFonts w:cs="Times New Roman"/>
          <w:lang w:val="en-US"/>
        </w:rPr>
      </w:pPr>
      <w:r w:rsidRPr="00071C2A">
        <w:rPr>
          <w:rFonts w:cs="Times New Roman"/>
          <w:lang w:val="en-US"/>
        </w:rPr>
        <w:t xml:space="preserve">“On-line teaching competencies” is a topic that requires special attention within the Mexican educational system where new alternatives are required; these alternatives should overtake the limitations of time and space that most people have and provide them with access to education. </w:t>
      </w:r>
    </w:p>
    <w:p w14:paraId="3DAB31F9" w14:textId="77777777" w:rsidR="000850FC" w:rsidRPr="00071C2A" w:rsidRDefault="000850FC" w:rsidP="000850FC">
      <w:pPr>
        <w:rPr>
          <w:rFonts w:cs="Times New Roman"/>
          <w:lang w:val="en-US"/>
        </w:rPr>
      </w:pPr>
      <w:r w:rsidRPr="00071C2A">
        <w:rPr>
          <w:rFonts w:cs="Times New Roman"/>
          <w:lang w:val="en-US"/>
        </w:rPr>
        <w:t>This is a quantitative research based on a theoretical framework for on-line teaching which focuses on the analysis of the on-line competencies demonstrated by teachers with high-level performance in six Mexican Public Universities. The study is conducted from the students’ perspectives and the comparison is based on the opinion from the managers of the programs, as well as the educational framework of each institution</w:t>
      </w:r>
      <w:r>
        <w:rPr>
          <w:rFonts w:cs="Times New Roman"/>
          <w:lang w:val="en-US"/>
        </w:rPr>
        <w:t xml:space="preserve">. </w:t>
      </w:r>
      <w:r w:rsidRPr="00071C2A">
        <w:rPr>
          <w:rFonts w:cs="Times New Roman"/>
          <w:lang w:val="en-US"/>
        </w:rPr>
        <w:t xml:space="preserve">The results of this research present on-line teaching having a high-level of competence in the six Public Mexican Universities where this study was carried out; </w:t>
      </w:r>
      <w:r w:rsidRPr="0057034A">
        <w:rPr>
          <w:rFonts w:cs="Times New Roman"/>
          <w:lang w:val="en-US"/>
        </w:rPr>
        <w:t>students</w:t>
      </w:r>
      <w:r w:rsidRPr="0057034A">
        <w:rPr>
          <w:lang w:val="en-US"/>
        </w:rPr>
        <w:t>’</w:t>
      </w:r>
      <w:r w:rsidRPr="0057034A">
        <w:rPr>
          <w:rFonts w:cs="Times New Roman"/>
          <w:lang w:val="en-US"/>
        </w:rPr>
        <w:t xml:space="preserve"> </w:t>
      </w:r>
      <w:r w:rsidRPr="00071C2A">
        <w:rPr>
          <w:rFonts w:cs="Times New Roman"/>
          <w:lang w:val="en-US"/>
        </w:rPr>
        <w:t xml:space="preserve">answers allowed to identify a homogeneous on-line </w:t>
      </w:r>
      <w:r w:rsidRPr="0057034A">
        <w:rPr>
          <w:rFonts w:cs="Times New Roman"/>
          <w:lang w:val="en-US"/>
        </w:rPr>
        <w:t xml:space="preserve">teacher’s </w:t>
      </w:r>
      <w:r w:rsidRPr="00071C2A">
        <w:rPr>
          <w:rFonts w:cs="Times New Roman"/>
          <w:lang w:val="en-US"/>
        </w:rPr>
        <w:t>profile within the national educational context. Nevertheless, there are areas that can be improved in order to consolidate on-line education as a high-quality alternative for Mexican higher education.</w:t>
      </w:r>
    </w:p>
    <w:p w14:paraId="6BA8E756" w14:textId="687B4408" w:rsidR="000850FC" w:rsidRDefault="000850FC" w:rsidP="000850FC">
      <w:pPr>
        <w:rPr>
          <w:rFonts w:cs="Times New Roman"/>
          <w:lang w:val="en-US"/>
        </w:rPr>
      </w:pPr>
      <w:r w:rsidRPr="00F408C7">
        <w:rPr>
          <w:rFonts w:asciiTheme="minorHAnsi" w:hAnsiTheme="minorHAnsi" w:cstheme="minorHAnsi"/>
          <w:b/>
          <w:sz w:val="28"/>
          <w:szCs w:val="28"/>
          <w:lang w:val="en-US"/>
        </w:rPr>
        <w:t>Keywords:</w:t>
      </w:r>
      <w:r w:rsidRPr="008C6292">
        <w:rPr>
          <w:rFonts w:cs="Times New Roman"/>
          <w:lang w:val="en-US"/>
        </w:rPr>
        <w:t xml:space="preserve"> competencies,</w:t>
      </w:r>
      <w:r>
        <w:rPr>
          <w:rFonts w:cs="Times New Roman"/>
          <w:lang w:val="en-US"/>
        </w:rPr>
        <w:t xml:space="preserve"> t</w:t>
      </w:r>
      <w:r w:rsidRPr="008C6292">
        <w:rPr>
          <w:rFonts w:cs="Times New Roman"/>
          <w:lang w:val="en-US"/>
        </w:rPr>
        <w:t>eaching, on-line education</w:t>
      </w:r>
      <w:r>
        <w:rPr>
          <w:rFonts w:cs="Times New Roman"/>
          <w:lang w:val="en-US"/>
        </w:rPr>
        <w:t>.</w:t>
      </w:r>
    </w:p>
    <w:p w14:paraId="5BEDD4E6" w14:textId="4E0D6E45" w:rsidR="00AE49FD" w:rsidRPr="00F408C7" w:rsidRDefault="00AE49FD" w:rsidP="000850FC">
      <w:pPr>
        <w:rPr>
          <w:rFonts w:asciiTheme="minorHAnsi" w:hAnsiTheme="minorHAnsi" w:cstheme="minorHAnsi"/>
          <w:b/>
          <w:sz w:val="28"/>
          <w:szCs w:val="28"/>
          <w:lang w:val="en-US"/>
        </w:rPr>
      </w:pPr>
    </w:p>
    <w:p w14:paraId="744C2A6D" w14:textId="229963D2" w:rsidR="00AE49FD" w:rsidRPr="00AE49FD" w:rsidRDefault="00AE49FD" w:rsidP="000850FC">
      <w:pPr>
        <w:rPr>
          <w:rFonts w:asciiTheme="minorHAnsi" w:hAnsiTheme="minorHAnsi" w:cstheme="minorHAnsi"/>
          <w:b/>
          <w:sz w:val="28"/>
          <w:szCs w:val="28"/>
          <w:lang w:val="es-ES"/>
        </w:rPr>
      </w:pPr>
      <w:r w:rsidRPr="00AE49FD">
        <w:rPr>
          <w:rFonts w:asciiTheme="minorHAnsi" w:hAnsiTheme="minorHAnsi" w:cstheme="minorHAnsi"/>
          <w:b/>
          <w:sz w:val="28"/>
          <w:szCs w:val="28"/>
          <w:lang w:val="es-ES"/>
        </w:rPr>
        <w:t>Resumo</w:t>
      </w:r>
    </w:p>
    <w:p w14:paraId="6942C0DA" w14:textId="77777777" w:rsidR="00AE49FD" w:rsidRPr="00AE49FD" w:rsidRDefault="00AE49FD" w:rsidP="00AE49FD">
      <w:pPr>
        <w:rPr>
          <w:rFonts w:cs="Times New Roman"/>
        </w:rPr>
      </w:pPr>
      <w:r w:rsidRPr="00AE49FD">
        <w:rPr>
          <w:rFonts w:cs="Times New Roman"/>
        </w:rPr>
        <w:t>Competências para o ensino online é um tema que requer atenção especial em sistemas educacionais como o México, que precisa de alternativas para facilitar o acesso ao ensino superior e superar as limitações de tempo e espaço que grande parte da população possui. Nesse sentido, este documento oferece uma investigação quantitativa. Especificamente, e a partir da construção de um modelo teórico de competências para o ensino online, foram analisadas as opiniões dos gestores de cada um dos programas participantes do estudo (na perspectiva dos alunos e tendo como referência de contraste o modelo educacional institucional ) as competências dos professores online considerados de alto nível de desempenho no contexto de seis universidades públicas no México. Os resultados obtidos apresentam o ensino online com elevado nível de competência nas seis universidades analisadas. Da mesma forma, a resposta dos alunos permite identificar um perfil homogêneo do professor online no panorama educacional nacional; No entanto, existem áreas de oportunidades e melhorias que permitirão consolidar a formação online como uma alternativa de qualidade para o ensino superior no México.</w:t>
      </w:r>
    </w:p>
    <w:p w14:paraId="71972B14" w14:textId="07ACCBD0" w:rsidR="00AE49FD" w:rsidRDefault="00AE49FD" w:rsidP="00AE49FD">
      <w:pPr>
        <w:rPr>
          <w:rFonts w:cs="Times New Roman"/>
        </w:rPr>
      </w:pPr>
      <w:proofErr w:type="spellStart"/>
      <w:r w:rsidRPr="00AE49FD">
        <w:rPr>
          <w:rFonts w:asciiTheme="minorHAnsi" w:hAnsiTheme="minorHAnsi" w:cstheme="minorHAnsi"/>
          <w:b/>
          <w:sz w:val="28"/>
          <w:szCs w:val="28"/>
          <w:lang w:val="es-ES"/>
        </w:rPr>
        <w:lastRenderedPageBreak/>
        <w:t>Palavras</w:t>
      </w:r>
      <w:proofErr w:type="spellEnd"/>
      <w:r w:rsidRPr="00AE49FD">
        <w:rPr>
          <w:rFonts w:asciiTheme="minorHAnsi" w:hAnsiTheme="minorHAnsi" w:cstheme="minorHAnsi"/>
          <w:b/>
          <w:sz w:val="28"/>
          <w:szCs w:val="28"/>
          <w:lang w:val="es-ES"/>
        </w:rPr>
        <w:t>-chave:</w:t>
      </w:r>
      <w:r w:rsidRPr="00AE49FD">
        <w:rPr>
          <w:rFonts w:cs="Times New Roman"/>
        </w:rPr>
        <w:t xml:space="preserve"> habilidades, ensino, educação online.</w:t>
      </w:r>
    </w:p>
    <w:p w14:paraId="5F886579" w14:textId="77777777" w:rsidR="00AE49FD" w:rsidRPr="006524FF" w:rsidRDefault="00AE49FD" w:rsidP="00AE49FD">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r>
        <w:rPr>
          <w:rFonts w:ascii="Times New Roman" w:hAnsi="Times New Roman"/>
          <w:color w:val="000000"/>
          <w:sz w:val="24"/>
        </w:rPr>
        <w:t>Noviem</w:t>
      </w:r>
      <w:r w:rsidRPr="006524FF">
        <w:rPr>
          <w:rFonts w:ascii="Times New Roman" w:hAnsi="Times New Roman"/>
          <w:color w:val="000000"/>
          <w:sz w:val="24"/>
        </w:rPr>
        <w:t xml:space="preserve">bre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Ma</w:t>
      </w:r>
      <w:r>
        <w:rPr>
          <w:rFonts w:ascii="Times New Roman" w:hAnsi="Times New Roman"/>
          <w:color w:val="000000"/>
          <w:sz w:val="24"/>
        </w:rPr>
        <w:t>yo</w:t>
      </w:r>
      <w:r w:rsidRPr="006524FF">
        <w:rPr>
          <w:rFonts w:ascii="Times New Roman" w:hAnsi="Times New Roman"/>
          <w:color w:val="000000"/>
          <w:sz w:val="24"/>
        </w:rPr>
        <w:t xml:space="preserve"> 2021</w:t>
      </w:r>
    </w:p>
    <w:p w14:paraId="0EA9B68F" w14:textId="77777777" w:rsidR="00AE49FD" w:rsidRPr="006524FF" w:rsidRDefault="00BB5879" w:rsidP="00AE49FD">
      <w:pPr>
        <w:rPr>
          <w:iCs/>
          <w:color w:val="000000" w:themeColor="text1"/>
        </w:rPr>
      </w:pPr>
      <w:r>
        <w:rPr>
          <w:noProof/>
        </w:rPr>
        <w:pict w14:anchorId="35A227C7">
          <v:rect id="_x0000_i1025" alt="" style="width:464.55pt;height:.05pt;mso-width-percent:0;mso-height-percent:0;mso-width-percent:0;mso-height-percent:0" o:hrpct="988" o:hralign="center" o:hrstd="t" o:hr="t" fillcolor="#a0a0a0" stroked="f"/>
        </w:pict>
      </w:r>
    </w:p>
    <w:p w14:paraId="592FB8E8" w14:textId="77777777" w:rsidR="000850FC" w:rsidRPr="00924D59" w:rsidRDefault="000850FC" w:rsidP="000850FC">
      <w:pPr>
        <w:jc w:val="center"/>
        <w:rPr>
          <w:rFonts w:cs="Times New Roman"/>
          <w:b/>
          <w:sz w:val="32"/>
          <w:szCs w:val="32"/>
          <w:lang w:val="es-ES"/>
        </w:rPr>
      </w:pPr>
      <w:r w:rsidRPr="00924D59">
        <w:rPr>
          <w:rFonts w:cs="Times New Roman"/>
          <w:b/>
          <w:sz w:val="32"/>
          <w:szCs w:val="32"/>
          <w:lang w:val="es-ES"/>
        </w:rPr>
        <w:t>Introducción</w:t>
      </w:r>
      <w:r w:rsidR="00E166A6">
        <w:rPr>
          <w:rFonts w:cs="Times New Roman"/>
          <w:b/>
          <w:sz w:val="32"/>
          <w:szCs w:val="32"/>
          <w:lang w:val="es-ES"/>
        </w:rPr>
        <w:t xml:space="preserve"> </w:t>
      </w:r>
    </w:p>
    <w:p w14:paraId="16D594C5" w14:textId="77777777" w:rsidR="000850FC" w:rsidRDefault="000850FC" w:rsidP="00E166A6">
      <w:pPr>
        <w:ind w:firstLine="708"/>
        <w:rPr>
          <w:rFonts w:eastAsia="Times New Roman" w:cs="Times New Roman"/>
          <w:lang w:eastAsia="es-ES_tradnl"/>
        </w:rPr>
      </w:pPr>
      <w:r w:rsidRPr="00071C2A">
        <w:rPr>
          <w:rFonts w:cs="Times New Roman"/>
        </w:rPr>
        <w:t xml:space="preserve">Uno de los grandes retos </w:t>
      </w:r>
      <w:r>
        <w:rPr>
          <w:rFonts w:cs="Times New Roman"/>
        </w:rPr>
        <w:t>del</w:t>
      </w:r>
      <w:r w:rsidRPr="00071C2A">
        <w:rPr>
          <w:rFonts w:cs="Times New Roman"/>
        </w:rPr>
        <w:t xml:space="preserve"> siglo XXI </w:t>
      </w:r>
      <w:r>
        <w:rPr>
          <w:rFonts w:cs="Times New Roman"/>
        </w:rPr>
        <w:t>para</w:t>
      </w:r>
      <w:r w:rsidRPr="00071C2A">
        <w:rPr>
          <w:rFonts w:cs="Times New Roman"/>
        </w:rPr>
        <w:t xml:space="preserve"> los países en desarrollo </w:t>
      </w:r>
      <w:r>
        <w:rPr>
          <w:rFonts w:cs="Times New Roman"/>
        </w:rPr>
        <w:t>(</w:t>
      </w:r>
      <w:r w:rsidRPr="00071C2A">
        <w:rPr>
          <w:rFonts w:cs="Times New Roman"/>
        </w:rPr>
        <w:t>como México</w:t>
      </w:r>
      <w:r>
        <w:rPr>
          <w:rFonts w:cs="Times New Roman"/>
        </w:rPr>
        <w:t>)</w:t>
      </w:r>
      <w:r w:rsidRPr="00071C2A">
        <w:rPr>
          <w:rFonts w:cs="Times New Roman"/>
        </w:rPr>
        <w:t xml:space="preserve"> es atender la población escolar </w:t>
      </w:r>
      <w:r w:rsidR="00BE06E3">
        <w:rPr>
          <w:rFonts w:cs="Times New Roman"/>
        </w:rPr>
        <w:t xml:space="preserve">que requiere educación superior, pues aunque se ha demostrado que el </w:t>
      </w:r>
      <w:r w:rsidRPr="00071C2A">
        <w:rPr>
          <w:rFonts w:cs="Times New Roman"/>
        </w:rPr>
        <w:t xml:space="preserve">acceso a </w:t>
      </w:r>
      <w:r>
        <w:rPr>
          <w:rFonts w:cs="Times New Roman"/>
        </w:rPr>
        <w:t>e</w:t>
      </w:r>
      <w:r w:rsidRPr="00071C2A">
        <w:rPr>
          <w:rFonts w:cs="Times New Roman"/>
        </w:rPr>
        <w:t xml:space="preserve">sta </w:t>
      </w:r>
      <w:r w:rsidR="00BE06E3">
        <w:rPr>
          <w:rFonts w:cs="Times New Roman"/>
        </w:rPr>
        <w:t xml:space="preserve">ha aumentado </w:t>
      </w:r>
      <w:r>
        <w:rPr>
          <w:rFonts w:cs="Times New Roman"/>
        </w:rPr>
        <w:t>—</w:t>
      </w:r>
      <w:r w:rsidRPr="00071C2A">
        <w:rPr>
          <w:rFonts w:cs="Times New Roman"/>
        </w:rPr>
        <w:t>de 10.9</w:t>
      </w:r>
      <w:r>
        <w:rPr>
          <w:rFonts w:cs="Times New Roman"/>
        </w:rPr>
        <w:t xml:space="preserve"> </w:t>
      </w:r>
      <w:r w:rsidRPr="00071C2A">
        <w:rPr>
          <w:rFonts w:cs="Times New Roman"/>
        </w:rPr>
        <w:t>% en 2000 a 30</w:t>
      </w:r>
      <w:r>
        <w:rPr>
          <w:rFonts w:cs="Times New Roman"/>
        </w:rPr>
        <w:t xml:space="preserve"> </w:t>
      </w:r>
      <w:r w:rsidRPr="00071C2A">
        <w:rPr>
          <w:rFonts w:cs="Times New Roman"/>
        </w:rPr>
        <w:t>% en 2017</w:t>
      </w:r>
      <w:r>
        <w:rPr>
          <w:rFonts w:cs="Times New Roman"/>
        </w:rPr>
        <w:t>, según datos de la</w:t>
      </w:r>
      <w:r w:rsidRPr="00071C2A">
        <w:rPr>
          <w:rFonts w:cs="Times New Roman"/>
        </w:rPr>
        <w:t xml:space="preserve"> </w:t>
      </w:r>
      <w:r w:rsidRPr="00071C2A">
        <w:rPr>
          <w:rFonts w:eastAsia="Times New Roman" w:cs="Times New Roman"/>
          <w:color w:val="222222"/>
          <w:shd w:val="clear" w:color="auto" w:fill="FFFFFF"/>
          <w:lang w:eastAsia="es-ES_tradnl"/>
        </w:rPr>
        <w:t>Organización para la Cooperación y el Desarrollo Económico</w:t>
      </w:r>
      <w:r w:rsidRPr="00071C2A">
        <w:rPr>
          <w:rFonts w:cs="Times New Roman"/>
          <w:noProof/>
        </w:rPr>
        <w:t xml:space="preserve"> </w:t>
      </w:r>
      <w:r w:rsidRPr="00071C2A">
        <w:rPr>
          <w:rFonts w:cs="Times New Roman"/>
          <w:noProof/>
        </w:rPr>
        <w:fldChar w:fldCharType="begin"/>
      </w:r>
      <w:r>
        <w:rPr>
          <w:rFonts w:cs="Times New Roman"/>
          <w:noProof/>
        </w:rPr>
        <w:instrText xml:space="preserve"> ADDIN ZOTERO_ITEM CSL_CITATION {"citationID":"DLIQvuja","properties":{"formattedCitation":"(OECD, 2019, p. 2)","plainCitation":"(OECD, 2019, p. 2)","noteIndex":0},"citationItems":[{"id":4,"uris":["http://zotero.org/users/local/tvKJQPKe/items/JNAZQLUM"],"uri":["http://zotero.org/users/local/tvKJQPKe/items/JNAZQLUM"],"itemData":{"id":4,"type":"book","event-place":"Paris","ISBN":"978-92-64-93667-6","language":"es","note":"DOI: 10.1787/a93ed2b7-es","number-of-pages":"235","publisher":"OECD Publishing","publisher-place":"Paris","source":"Crossref","title":"Educación superior en México: Resultados y relevancia para el mercado laboral","title-short":"Educación superior en México","URL":"https://doi.org/10.1787/a93ed2b7-es","author":[{"literal":"OECD"}],"accessed":{"date-parts":[["2020",3,24]]},"issued":{"date-parts":[["2019"]]}},"locator":"2"}],"schema":"https://github.com/citation-style-language/schema/raw/master/csl-citation.json"} </w:instrText>
      </w:r>
      <w:r w:rsidRPr="00071C2A">
        <w:rPr>
          <w:rFonts w:cs="Times New Roman"/>
          <w:noProof/>
        </w:rPr>
        <w:fldChar w:fldCharType="separate"/>
      </w:r>
      <w:r>
        <w:rPr>
          <w:rFonts w:cs="Times New Roman"/>
          <w:noProof/>
        </w:rPr>
        <w:t>(OECD) (2019)</w:t>
      </w:r>
      <w:r w:rsidRPr="00071C2A">
        <w:rPr>
          <w:rFonts w:cs="Times New Roman"/>
          <w:noProof/>
        </w:rPr>
        <w:fldChar w:fldCharType="end"/>
      </w:r>
      <w:r>
        <w:rPr>
          <w:rFonts w:cs="Times New Roman"/>
          <w:noProof/>
        </w:rPr>
        <w:t>—</w:t>
      </w:r>
      <w:r w:rsidRPr="00071C2A">
        <w:rPr>
          <w:rFonts w:cs="Times New Roman"/>
        </w:rPr>
        <w:t xml:space="preserve">, </w:t>
      </w:r>
      <w:r>
        <w:rPr>
          <w:rFonts w:cs="Times New Roman"/>
        </w:rPr>
        <w:t xml:space="preserve">los registros </w:t>
      </w:r>
      <w:r>
        <w:rPr>
          <w:rFonts w:eastAsia="Times New Roman" w:cs="Times New Roman"/>
          <w:lang w:eastAsia="es-ES_tradnl"/>
        </w:rPr>
        <w:t xml:space="preserve">indican que </w:t>
      </w:r>
      <w:r w:rsidRPr="00071C2A">
        <w:rPr>
          <w:rFonts w:eastAsia="Times New Roman" w:cs="Times New Roman"/>
          <w:lang w:eastAsia="es-ES_tradnl"/>
        </w:rPr>
        <w:t>s</w:t>
      </w:r>
      <w:r>
        <w:rPr>
          <w:rFonts w:eastAsia="Times New Roman" w:cs="Times New Roman"/>
          <w:lang w:eastAsia="es-ES_tradnl"/>
        </w:rPr>
        <w:t>o</w:t>
      </w:r>
      <w:r w:rsidRPr="00071C2A">
        <w:rPr>
          <w:rFonts w:eastAsia="Times New Roman" w:cs="Times New Roman"/>
          <w:lang w:eastAsia="es-ES_tradnl"/>
        </w:rPr>
        <w:t>lo 17</w:t>
      </w:r>
      <w:r>
        <w:rPr>
          <w:rFonts w:eastAsia="Times New Roman" w:cs="Times New Roman"/>
          <w:lang w:eastAsia="es-ES_tradnl"/>
        </w:rPr>
        <w:t xml:space="preserve"> </w:t>
      </w:r>
      <w:r w:rsidRPr="00071C2A">
        <w:rPr>
          <w:rFonts w:eastAsia="Times New Roman" w:cs="Times New Roman"/>
          <w:lang w:eastAsia="es-ES_tradnl"/>
        </w:rPr>
        <w:t xml:space="preserve">% de la población </w:t>
      </w:r>
      <w:r>
        <w:rPr>
          <w:rFonts w:eastAsia="Times New Roman" w:cs="Times New Roman"/>
          <w:lang w:eastAsia="es-ES_tradnl"/>
        </w:rPr>
        <w:t>entre</w:t>
      </w:r>
      <w:r w:rsidRPr="00071C2A">
        <w:rPr>
          <w:rFonts w:eastAsia="Times New Roman" w:cs="Times New Roman"/>
          <w:lang w:eastAsia="es-ES_tradnl"/>
        </w:rPr>
        <w:t xml:space="preserve"> 25 y 64 años cuenta con un título de licenciatura </w:t>
      </w:r>
      <w:r>
        <w:rPr>
          <w:rFonts w:eastAsia="Times New Roman" w:cs="Times New Roman"/>
          <w:lang w:eastAsia="es-ES_tradnl"/>
        </w:rPr>
        <w:t>o superior. De hecho,</w:t>
      </w:r>
      <w:r w:rsidRPr="00D1153C">
        <w:rPr>
          <w:rFonts w:eastAsia="Times New Roman" w:cs="Times New Roman"/>
          <w:lang w:eastAsia="es-ES_tradnl"/>
        </w:rPr>
        <w:t xml:space="preserve"> </w:t>
      </w:r>
      <w:r w:rsidRPr="00071C2A">
        <w:rPr>
          <w:rFonts w:eastAsia="Times New Roman" w:cs="Times New Roman"/>
          <w:lang w:eastAsia="es-ES_tradnl"/>
        </w:rPr>
        <w:t>en 2017</w:t>
      </w:r>
      <w:r>
        <w:rPr>
          <w:rFonts w:eastAsia="Times New Roman" w:cs="Times New Roman"/>
          <w:lang w:eastAsia="es-ES_tradnl"/>
        </w:rPr>
        <w:t xml:space="preserve"> </w:t>
      </w:r>
      <w:r w:rsidR="00BE06E3">
        <w:rPr>
          <w:rFonts w:eastAsia="Times New Roman" w:cs="Times New Roman"/>
          <w:lang w:eastAsia="es-ES_tradnl"/>
        </w:rPr>
        <w:t xml:space="preserve">en México </w:t>
      </w:r>
      <w:r>
        <w:rPr>
          <w:rFonts w:eastAsia="Times New Roman" w:cs="Times New Roman"/>
          <w:lang w:eastAsia="es-ES_tradnl"/>
        </w:rPr>
        <w:t>únicamente</w:t>
      </w:r>
      <w:r w:rsidRPr="00071C2A">
        <w:rPr>
          <w:rFonts w:eastAsia="Times New Roman" w:cs="Times New Roman"/>
          <w:lang w:eastAsia="es-ES_tradnl"/>
        </w:rPr>
        <w:t xml:space="preserve"> 3.7</w:t>
      </w:r>
      <w:r>
        <w:rPr>
          <w:rFonts w:eastAsia="Times New Roman" w:cs="Times New Roman"/>
          <w:lang w:eastAsia="es-ES_tradnl"/>
        </w:rPr>
        <w:t xml:space="preserve"> %</w:t>
      </w:r>
      <w:r w:rsidRPr="00071C2A">
        <w:rPr>
          <w:rFonts w:eastAsia="Times New Roman" w:cs="Times New Roman"/>
          <w:lang w:eastAsia="es-ES_tradnl"/>
        </w:rPr>
        <w:t xml:space="preserve"> (</w:t>
      </w:r>
      <w:r w:rsidR="00BE06E3">
        <w:rPr>
          <w:rFonts w:eastAsia="Times New Roman" w:cs="Times New Roman"/>
          <w:lang w:eastAsia="es-ES_tradnl"/>
        </w:rPr>
        <w:t xml:space="preserve">es decir, </w:t>
      </w:r>
      <w:r w:rsidRPr="00071C2A">
        <w:rPr>
          <w:rFonts w:eastAsia="Times New Roman" w:cs="Times New Roman"/>
          <w:lang w:eastAsia="es-ES_tradnl"/>
        </w:rPr>
        <w:t>4.4 millones</w:t>
      </w:r>
      <w:r>
        <w:rPr>
          <w:rFonts w:eastAsia="Times New Roman" w:cs="Times New Roman"/>
          <w:lang w:eastAsia="es-ES_tradnl"/>
        </w:rPr>
        <w:t xml:space="preserve"> de personas</w:t>
      </w:r>
      <w:r w:rsidRPr="00071C2A">
        <w:rPr>
          <w:rFonts w:eastAsia="Times New Roman" w:cs="Times New Roman"/>
          <w:lang w:eastAsia="es-ES_tradnl"/>
        </w:rPr>
        <w:t xml:space="preserve">) </w:t>
      </w:r>
      <w:r>
        <w:rPr>
          <w:rFonts w:eastAsia="Times New Roman" w:cs="Times New Roman"/>
          <w:lang w:eastAsia="es-ES_tradnl"/>
        </w:rPr>
        <w:t>estaba</w:t>
      </w:r>
      <w:r w:rsidRPr="00071C2A">
        <w:rPr>
          <w:rFonts w:eastAsia="Times New Roman" w:cs="Times New Roman"/>
          <w:lang w:eastAsia="es-ES_tradnl"/>
        </w:rPr>
        <w:t xml:space="preserve"> matriculad</w:t>
      </w:r>
      <w:r>
        <w:rPr>
          <w:rFonts w:eastAsia="Times New Roman" w:cs="Times New Roman"/>
          <w:lang w:eastAsia="es-ES_tradnl"/>
        </w:rPr>
        <w:t>a</w:t>
      </w:r>
      <w:r w:rsidRPr="00071C2A">
        <w:rPr>
          <w:rFonts w:eastAsia="Times New Roman" w:cs="Times New Roman"/>
          <w:lang w:eastAsia="es-ES_tradnl"/>
        </w:rPr>
        <w:t xml:space="preserve"> en un programa de educación superior</w:t>
      </w:r>
      <w:r>
        <w:rPr>
          <w:rFonts w:eastAsia="Times New Roman" w:cs="Times New Roman"/>
          <w:lang w:eastAsia="es-ES_tradnl"/>
        </w:rPr>
        <w:t xml:space="preserve">, </w:t>
      </w:r>
      <w:r w:rsidRPr="00071C2A">
        <w:rPr>
          <w:rFonts w:cs="Times New Roman"/>
        </w:rPr>
        <w:t>cifra</w:t>
      </w:r>
      <w:r>
        <w:rPr>
          <w:rFonts w:cs="Times New Roman"/>
        </w:rPr>
        <w:t>s</w:t>
      </w:r>
      <w:r w:rsidRPr="00071C2A">
        <w:rPr>
          <w:rFonts w:cs="Times New Roman"/>
        </w:rPr>
        <w:t xml:space="preserve"> realmente insuficiente</w:t>
      </w:r>
      <w:r>
        <w:rPr>
          <w:rFonts w:cs="Times New Roman"/>
        </w:rPr>
        <w:t>s</w:t>
      </w:r>
      <w:r w:rsidRPr="00071C2A">
        <w:rPr>
          <w:rFonts w:cs="Times New Roman"/>
        </w:rPr>
        <w:t xml:space="preserve"> para </w:t>
      </w:r>
      <w:r>
        <w:rPr>
          <w:rFonts w:cs="Times New Roman"/>
        </w:rPr>
        <w:t xml:space="preserve">atender </w:t>
      </w:r>
      <w:r w:rsidRPr="00071C2A">
        <w:rPr>
          <w:rFonts w:cs="Times New Roman"/>
        </w:rPr>
        <w:t>las necesidades de un país en crecimiento</w:t>
      </w:r>
      <w:r>
        <w:rPr>
          <w:rFonts w:cs="Times New Roman"/>
        </w:rPr>
        <w:t>. E</w:t>
      </w:r>
      <w:r w:rsidRPr="00071C2A">
        <w:rPr>
          <w:rFonts w:cs="Times New Roman"/>
        </w:rPr>
        <w:t xml:space="preserve">sta situación </w:t>
      </w:r>
      <w:r>
        <w:rPr>
          <w:rFonts w:cs="Times New Roman"/>
        </w:rPr>
        <w:t>se ve</w:t>
      </w:r>
      <w:r w:rsidRPr="00071C2A">
        <w:rPr>
          <w:rFonts w:cs="Times New Roman"/>
        </w:rPr>
        <w:t xml:space="preserve"> acentuada porque 55.3</w:t>
      </w:r>
      <w:r>
        <w:rPr>
          <w:rFonts w:cs="Times New Roman"/>
        </w:rPr>
        <w:t xml:space="preserve"> </w:t>
      </w:r>
      <w:r w:rsidRPr="00071C2A">
        <w:rPr>
          <w:rFonts w:cs="Times New Roman"/>
        </w:rPr>
        <w:t>% de la población se encuentra económicamente activa</w:t>
      </w:r>
      <w:r w:rsidRPr="00071C2A">
        <w:rPr>
          <w:rFonts w:cs="Times New Roman"/>
          <w:noProof/>
        </w:rPr>
        <w:t xml:space="preserve"> </w:t>
      </w:r>
      <w:r>
        <w:rPr>
          <w:rFonts w:cs="Times New Roman"/>
          <w:noProof/>
        </w:rPr>
        <w:fldChar w:fldCharType="begin"/>
      </w:r>
      <w:r>
        <w:rPr>
          <w:rFonts w:cs="Times New Roman"/>
          <w:noProof/>
        </w:rPr>
        <w:instrText xml:space="preserve"> ADDIN ZOTERO_ITEM CSL_CITATION {"citationID":"FFSs37bm","properties":{"formattedCitation":"(INEGI, 2019, p. 1)","plainCitation":"(INEGI, 2019, p. 1)","noteIndex":0},"citationItems":[{"id":5,"uris":["http://zotero.org/users/local/tvKJQPKe/items/FSM22664"],"uri":["http://zotero.org/users/local/tvKJQPKe/items/FSM22664"],"itemData":{"id":5,"type":"webpage","container-title":"Ocupación, Población de 15 años y más según condición de actividad y disponibilidad, nacional trimestral","genre":"INEGI","title":"Tabulador - Ocupación","URL":"https://www.inegi.org.mx/app/tabulados/default.html?nc=603","author":[{"family":"INEGI","given":""}],"accessed":{"date-parts":[["2020",3,24]]},"issued":{"date-parts":[["2019"]]}},"locator":"1"}],"schema":"https://github.com/citation-style-language/schema/raw/master/csl-citation.json"} </w:instrText>
      </w:r>
      <w:r>
        <w:rPr>
          <w:rFonts w:cs="Times New Roman"/>
          <w:noProof/>
        </w:rPr>
        <w:fldChar w:fldCharType="separate"/>
      </w:r>
      <w:r>
        <w:rPr>
          <w:rFonts w:cs="Times New Roman"/>
          <w:noProof/>
        </w:rPr>
        <w:t>(</w:t>
      </w:r>
      <w:r>
        <w:rPr>
          <w:rFonts w:cs="Times New Roman"/>
        </w:rPr>
        <w:t>Instituto Nacional de Estadística Geografía e Informática [Inegi]</w:t>
      </w:r>
      <w:r>
        <w:rPr>
          <w:rFonts w:cs="Times New Roman"/>
          <w:noProof/>
        </w:rPr>
        <w:t>, 2019)</w:t>
      </w:r>
      <w:r>
        <w:rPr>
          <w:rFonts w:cs="Times New Roman"/>
          <w:noProof/>
        </w:rPr>
        <w:fldChar w:fldCharType="end"/>
      </w:r>
      <w:r>
        <w:rPr>
          <w:rFonts w:cs="Times New Roman"/>
          <w:noProof/>
        </w:rPr>
        <w:t xml:space="preserve"> </w:t>
      </w:r>
      <w:r w:rsidRPr="00071C2A">
        <w:rPr>
          <w:rFonts w:cs="Times New Roman"/>
        </w:rPr>
        <w:t xml:space="preserve">y las limitaciones de tiempos, espacios y condiciones que esto supone hacen poco factible </w:t>
      </w:r>
      <w:r>
        <w:rPr>
          <w:rFonts w:cs="Times New Roman"/>
        </w:rPr>
        <w:t>que puedan</w:t>
      </w:r>
      <w:r w:rsidRPr="00071C2A">
        <w:rPr>
          <w:rFonts w:cs="Times New Roman"/>
        </w:rPr>
        <w:t xml:space="preserve"> proseguir sus estudios de manera convencional.</w:t>
      </w:r>
      <w:r>
        <w:rPr>
          <w:rFonts w:cs="Times New Roman"/>
        </w:rPr>
        <w:t xml:space="preserve"> </w:t>
      </w:r>
    </w:p>
    <w:p w14:paraId="1AB9000B" w14:textId="1306FEAF" w:rsidR="000850FC" w:rsidRPr="007C75CA" w:rsidRDefault="000850FC" w:rsidP="000850FC">
      <w:pPr>
        <w:ind w:firstLine="708"/>
        <w:rPr>
          <w:rFonts w:eastAsia="Times New Roman" w:cs="Times New Roman"/>
          <w:lang w:eastAsia="es-ES_tradnl"/>
        </w:rPr>
      </w:pPr>
      <w:r w:rsidRPr="00071C2A">
        <w:rPr>
          <w:rFonts w:cs="Times New Roman"/>
          <w:noProof/>
        </w:rPr>
        <w:t xml:space="preserve">A </w:t>
      </w:r>
      <w:r>
        <w:rPr>
          <w:rFonts w:cs="Times New Roman"/>
          <w:noProof/>
        </w:rPr>
        <w:t>esta realidad se debe agregar que</w:t>
      </w:r>
      <w:r w:rsidRPr="00071C2A">
        <w:rPr>
          <w:rFonts w:cs="Times New Roman"/>
          <w:noProof/>
        </w:rPr>
        <w:t xml:space="preserve"> en los últimos años </w:t>
      </w:r>
      <w:r>
        <w:rPr>
          <w:rFonts w:cs="Times New Roman"/>
          <w:noProof/>
        </w:rPr>
        <w:t>ha disminuido la</w:t>
      </w:r>
      <w:r w:rsidRPr="00071C2A">
        <w:rPr>
          <w:rFonts w:cs="Times New Roman"/>
          <w:noProof/>
        </w:rPr>
        <w:t xml:space="preserve"> seguridad social </w:t>
      </w:r>
      <w:r w:rsidRPr="00071C2A">
        <w:rPr>
          <w:rFonts w:cs="Times New Roman"/>
          <w:noProof/>
        </w:rPr>
        <w:fldChar w:fldCharType="begin"/>
      </w:r>
      <w:r>
        <w:rPr>
          <w:rFonts w:cs="Times New Roman"/>
          <w:noProof/>
        </w:rPr>
        <w:instrText xml:space="preserve"> ADDIN ZOTERO_ITEM CSL_CITATION {"citationID":"57eFFB9U","properties":{"formattedCitation":"(Jasso L\\uc0\\u243{}pez, 2013, p. 28)","plainCitation":"(Jasso López, 2013, p. 28)","noteIndex":0},"citationItems":[{"id":10,"uris":["http://zotero.org/users/local/tvKJQPKe/items/FHIW2DH9"],"uri":["http://zotero.org/users/local/tvKJQPKe/items/FHIW2DH9"],"itemData":{"id":10,"type":"article-journal","abstract":"Resumen\nEl objetivo de este trabajo es analizar la percepción de inseguridad en México, los lugares que resultan más inseguros a los ciudadanos, la tendencia a futuro, y la relación existente entre la percepción y la política pública. Para cumplir con este objetivo, este artículo se divide en dos partes. En principio se hace una revisión teórica del concepto “percepción de inseguridad”, se esbozan las razones por las que se configura como un problema público, y se ahonda en la metodología para su estudio y medición. En la segunda parte se abordan los resultados de la envipe 2012 para conocer la percepción de inseguridad de los mexicanos, y se contrapone el conocimiento de la política pública y la percepción de inseguridad para conocer si existe o no relación entre estas, es decir, si la política pública incide en la percepción de inseguridad. El estudio concluye que la percepción de inseguridad es un problema público que vulnera la calidad de vida de las personas, y el caso de los mexicanos no es la excepción. En México, ha repercutido en que las personas dejen de realizar actividades cotidianas, lo que resulta en la limitación del esparcimiento social, inhibe la posibilidad de generar cohesión social y, en algunos casos, genera otros problemas públicos de mayor envergadura.\nThe objective of this paper is to analyze the perception of insecurity in Mexico, the places that are most insecure, the future trend, and the relationship between perception and public policy. To meet this objective this paper is divided into two parts. First, a theoretical review of the concept outlines the reasons that is configured as a public problem, and delves into the methodology for the study and measurement. The second part analyzes the envipe results 2012 for the perception of insecurity of Mexicans, and contrasted the knowledge of public policy and the perception of insecurity to know if there is a relation between them. That is, if public policy affects the perception of insecurity. The study concludes that the perception of insecurity is a public problem that undermines the quality of life of individuals, and the case of Mexicans is no exception. In Mexico, this has affected people stop doing everyday activities that affecting social recreational limit and inhibit the ability to generate social cohesion, and in some cases generates other larger public problems.","container-title":"Revista Mexicana de Opinión Pública","DOI":"10.1016/S1870-7300(13)72319-6","ISSN":"1870-7300","journalAbbreviation":"Revista Mexicana de Opinión Pública","language":"es","page":"12-29","source":"ScienceDirect","title":"Percepción de inseguridad en México","URL":"http://www.sciencedirect.com/science/article/pii/S1870730013723196","volume":"15(29)","author":[{"family":"Jasso López","given":"Carmina"}],"accessed":{"date-parts":[["2020",3,24]]},"issued":{"date-parts":[["2013",7,1]]}},"locator":"28"}],"schema":"https://github.com/citation-style-language/schema/raw/master/csl-citation.json"} </w:instrText>
      </w:r>
      <w:r w:rsidRPr="00071C2A">
        <w:rPr>
          <w:rFonts w:cs="Times New Roman"/>
          <w:noProof/>
        </w:rPr>
        <w:fldChar w:fldCharType="separate"/>
      </w:r>
      <w:r w:rsidRPr="00205EFD">
        <w:rPr>
          <w:rFonts w:cs="Times New Roman"/>
          <w:lang w:val="es-ES_tradnl"/>
        </w:rPr>
        <w:t>(Jasso López, 2013)</w:t>
      </w:r>
      <w:r w:rsidRPr="00071C2A">
        <w:rPr>
          <w:rFonts w:cs="Times New Roman"/>
          <w:noProof/>
        </w:rPr>
        <w:fldChar w:fldCharType="end"/>
      </w:r>
      <w:r>
        <w:rPr>
          <w:rFonts w:cs="Times New Roman"/>
          <w:noProof/>
        </w:rPr>
        <w:t>, lo</w:t>
      </w:r>
      <w:r w:rsidRPr="00071C2A">
        <w:rPr>
          <w:rFonts w:cs="Times New Roman"/>
          <w:noProof/>
        </w:rPr>
        <w:t xml:space="preserve"> que impide a las personas económicamente activas acceder a programas en horarios verpertinos o nocturnos</w:t>
      </w:r>
      <w:r>
        <w:rPr>
          <w:rFonts w:cs="Times New Roman"/>
          <w:noProof/>
        </w:rPr>
        <w:t>.</w:t>
      </w:r>
      <w:r w:rsidRPr="00071C2A">
        <w:rPr>
          <w:rFonts w:cs="Times New Roman"/>
          <w:noProof/>
        </w:rPr>
        <w:t xml:space="preserve"> </w:t>
      </w:r>
      <w:r>
        <w:rPr>
          <w:rFonts w:cs="Times New Roman"/>
          <w:noProof/>
        </w:rPr>
        <w:t>Además</w:t>
      </w:r>
      <w:r w:rsidRPr="00071C2A">
        <w:rPr>
          <w:rFonts w:cs="Times New Roman"/>
          <w:noProof/>
        </w:rPr>
        <w:t xml:space="preserve">, a inicios de 2020 se presentó la crisis de salud </w:t>
      </w:r>
      <w:r>
        <w:rPr>
          <w:rFonts w:cs="Times New Roman"/>
          <w:noProof/>
        </w:rPr>
        <w:t xml:space="preserve">mundial </w:t>
      </w:r>
      <w:r w:rsidRPr="00071C2A">
        <w:rPr>
          <w:rFonts w:cs="Times New Roman"/>
          <w:noProof/>
        </w:rPr>
        <w:t>derivada de</w:t>
      </w:r>
      <w:r>
        <w:rPr>
          <w:rFonts w:cs="Times New Roman"/>
          <w:noProof/>
        </w:rPr>
        <w:t xml:space="preserve"> </w:t>
      </w:r>
      <w:r w:rsidRPr="00071C2A">
        <w:rPr>
          <w:rFonts w:cs="Times New Roman"/>
          <w:noProof/>
        </w:rPr>
        <w:t>l</w:t>
      </w:r>
      <w:r>
        <w:rPr>
          <w:rFonts w:cs="Times New Roman"/>
          <w:noProof/>
        </w:rPr>
        <w:t>a</w:t>
      </w:r>
      <w:r w:rsidRPr="00071C2A">
        <w:rPr>
          <w:rFonts w:cs="Times New Roman"/>
          <w:noProof/>
        </w:rPr>
        <w:t xml:space="preserve"> </w:t>
      </w:r>
      <w:r w:rsidR="001951AD">
        <w:rPr>
          <w:rFonts w:cs="Times New Roman"/>
          <w:noProof/>
        </w:rPr>
        <w:t>C</w:t>
      </w:r>
      <w:r w:rsidRPr="00071C2A">
        <w:rPr>
          <w:rFonts w:cs="Times New Roman"/>
          <w:noProof/>
        </w:rPr>
        <w:t>ovid</w:t>
      </w:r>
      <w:r>
        <w:rPr>
          <w:rFonts w:cs="Times New Roman"/>
          <w:noProof/>
        </w:rPr>
        <w:t>-</w:t>
      </w:r>
      <w:r w:rsidRPr="00071C2A">
        <w:rPr>
          <w:rFonts w:cs="Times New Roman"/>
          <w:noProof/>
        </w:rPr>
        <w:t xml:space="preserve">19, </w:t>
      </w:r>
      <w:r>
        <w:rPr>
          <w:rFonts w:cs="Times New Roman"/>
          <w:noProof/>
        </w:rPr>
        <w:t xml:space="preserve">por lo que </w:t>
      </w:r>
      <w:r w:rsidR="00BE06E3">
        <w:rPr>
          <w:rFonts w:cs="Times New Roman"/>
          <w:noProof/>
        </w:rPr>
        <w:t xml:space="preserve">en </w:t>
      </w:r>
      <w:r w:rsidRPr="00071C2A">
        <w:rPr>
          <w:rFonts w:cs="Times New Roman"/>
          <w:noProof/>
        </w:rPr>
        <w:t xml:space="preserve">México </w:t>
      </w:r>
      <w:r>
        <w:rPr>
          <w:rFonts w:cs="Times New Roman"/>
          <w:noProof/>
        </w:rPr>
        <w:t>(</w:t>
      </w:r>
      <w:r w:rsidRPr="00071C2A">
        <w:rPr>
          <w:rFonts w:cs="Times New Roman"/>
          <w:noProof/>
        </w:rPr>
        <w:t>a partir del 24 de marzo</w:t>
      </w:r>
      <w:r>
        <w:rPr>
          <w:rFonts w:cs="Times New Roman"/>
          <w:noProof/>
        </w:rPr>
        <w:t xml:space="preserve"> de ese año) </w:t>
      </w:r>
      <w:r w:rsidR="00BE06E3">
        <w:rPr>
          <w:rFonts w:cs="Times New Roman"/>
          <w:noProof/>
        </w:rPr>
        <w:t xml:space="preserve">hubo la necesidad </w:t>
      </w:r>
      <w:r>
        <w:rPr>
          <w:rFonts w:cs="Times New Roman"/>
          <w:noProof/>
        </w:rPr>
        <w:t xml:space="preserve">de establecer </w:t>
      </w:r>
      <w:r w:rsidRPr="00071C2A">
        <w:rPr>
          <w:rFonts w:cs="Times New Roman"/>
          <w:noProof/>
        </w:rPr>
        <w:t>restricciones de acceso a la educación no s</w:t>
      </w:r>
      <w:r>
        <w:rPr>
          <w:rFonts w:cs="Times New Roman"/>
          <w:noProof/>
        </w:rPr>
        <w:t>o</w:t>
      </w:r>
      <w:r w:rsidRPr="00071C2A">
        <w:rPr>
          <w:rFonts w:cs="Times New Roman"/>
          <w:noProof/>
        </w:rPr>
        <w:t xml:space="preserve">lo </w:t>
      </w:r>
      <w:r>
        <w:rPr>
          <w:rFonts w:cs="Times New Roman"/>
          <w:noProof/>
        </w:rPr>
        <w:t>de</w:t>
      </w:r>
      <w:r w:rsidRPr="00071C2A">
        <w:rPr>
          <w:rFonts w:cs="Times New Roman"/>
          <w:noProof/>
        </w:rPr>
        <w:t xml:space="preserve"> los económicamente activos</w:t>
      </w:r>
      <w:r>
        <w:rPr>
          <w:rFonts w:cs="Times New Roman"/>
          <w:noProof/>
        </w:rPr>
        <w:t>,</w:t>
      </w:r>
      <w:r w:rsidRPr="00071C2A">
        <w:rPr>
          <w:rFonts w:cs="Times New Roman"/>
          <w:noProof/>
        </w:rPr>
        <w:t xml:space="preserve"> sino también </w:t>
      </w:r>
      <w:r>
        <w:rPr>
          <w:rFonts w:cs="Times New Roman"/>
          <w:noProof/>
        </w:rPr>
        <w:t>de</w:t>
      </w:r>
      <w:r w:rsidRPr="00071C2A">
        <w:rPr>
          <w:rFonts w:cs="Times New Roman"/>
          <w:noProof/>
        </w:rPr>
        <w:t xml:space="preserve"> quienes estaban matriculados en alg</w:t>
      </w:r>
      <w:r>
        <w:rPr>
          <w:rFonts w:cs="Times New Roman"/>
          <w:noProof/>
        </w:rPr>
        <w:t>ú</w:t>
      </w:r>
      <w:r w:rsidRPr="00071C2A">
        <w:rPr>
          <w:rFonts w:cs="Times New Roman"/>
          <w:noProof/>
        </w:rPr>
        <w:t xml:space="preserve">n programa de educación superior </w:t>
      </w:r>
      <w:r>
        <w:rPr>
          <w:rFonts w:cs="Times New Roman"/>
          <w:noProof/>
        </w:rPr>
        <w:t>(Secretaría de Educación Pública</w:t>
      </w:r>
      <w:r>
        <w:rPr>
          <w:rFonts w:cs="Times New Roman"/>
          <w:noProof/>
        </w:rPr>
        <w:fldChar w:fldCharType="begin"/>
      </w:r>
      <w:r>
        <w:rPr>
          <w:rFonts w:cs="Times New Roman"/>
          <w:noProof/>
        </w:rPr>
        <w:instrText xml:space="preserve"> ADDIN ZOTERO_ITEM CSL_CITATION {"citationID":"THlxGlZB","properties":{"formattedCitation":"(SEP, 2020)","plainCitation":"(SEP, 2020)","noteIndex":0},"citationItems":[{"id":58,"uris":["http://zotero.org/users/local/tvKJQPKe/items/QPGV9538"],"uri":["http://zotero.org/users/local/tvKJQPKe/items/QPGV9538"],"itemData":{"id":58,"type":"post-weblog","abstract":"Cuidar a las personas mayores es prioridad.","container-title":"Gobierno de México","genre":"Secretaría de Educación Pública","language":"es","title":"Boletín No. 72 De acuerdo con la Secretaría de Salud, la SEP instrumenta las medidas preventivas por COVID-19","URL":"http://www.gob.mx/sep/es/articulos/boletin-no-72-de-acuerdo-con-la-secretaria-de-salud-la-sep-instrumenta-las-medidas-preventivas-por-covid-19?idiom=es","author":[{"family":"SEP","given":""}],"accessed":{"date-parts":[["2020",4,6]]},"issued":{"date-parts":[["2020"]]}}}],"schema":"https://github.com/citation-style-language/schema/raw/master/csl-citation.json"} </w:instrText>
      </w:r>
      <w:r>
        <w:rPr>
          <w:rFonts w:cs="Times New Roman"/>
          <w:noProof/>
        </w:rPr>
        <w:fldChar w:fldCharType="separate"/>
      </w:r>
      <w:r>
        <w:rPr>
          <w:rFonts w:cs="Times New Roman"/>
          <w:noProof/>
        </w:rPr>
        <w:t xml:space="preserve"> [SEP], 2020)</w:t>
      </w:r>
      <w:r>
        <w:rPr>
          <w:rFonts w:cs="Times New Roman"/>
          <w:noProof/>
        </w:rPr>
        <w:fldChar w:fldCharType="end"/>
      </w:r>
      <w:r w:rsidRPr="00071C2A">
        <w:rPr>
          <w:rFonts w:cs="Times New Roman"/>
          <w:noProof/>
        </w:rPr>
        <w:t>.</w:t>
      </w:r>
    </w:p>
    <w:p w14:paraId="46435B7F" w14:textId="0E6535AD" w:rsidR="00E166A6" w:rsidRDefault="000850FC" w:rsidP="000850FC">
      <w:pPr>
        <w:ind w:firstLine="708"/>
        <w:rPr>
          <w:rFonts w:cs="Times New Roman"/>
          <w:noProof/>
        </w:rPr>
      </w:pPr>
      <w:r w:rsidRPr="00071C2A">
        <w:rPr>
          <w:rFonts w:cs="Times New Roman"/>
          <w:noProof/>
        </w:rPr>
        <w:t>Este panorama ha representado una oportunidad para el crecimiento de la educación en línea</w:t>
      </w:r>
      <w:r>
        <w:rPr>
          <w:rFonts w:cs="Times New Roman"/>
          <w:noProof/>
        </w:rPr>
        <w:t xml:space="preserve">, la cual </w:t>
      </w:r>
      <w:r w:rsidRPr="00071C2A">
        <w:rPr>
          <w:rFonts w:cs="Times New Roman"/>
          <w:noProof/>
        </w:rPr>
        <w:t>inició como educación a distancia en México a inicios de 1900</w:t>
      </w:r>
      <w:r w:rsidRPr="00071C2A">
        <w:rPr>
          <w:rFonts w:cs="Times New Roman"/>
          <w:noProof/>
        </w:rPr>
        <w:fldChar w:fldCharType="begin"/>
      </w:r>
      <w:r w:rsidRPr="00071C2A">
        <w:rPr>
          <w:rFonts w:cs="Times New Roman"/>
          <w:noProof/>
        </w:rPr>
        <w:instrText xml:space="preserve"> ADDIN ZOTERO_TEMP </w:instrText>
      </w:r>
      <w:r w:rsidRPr="00071C2A">
        <w:rPr>
          <w:rFonts w:cs="Times New Roman"/>
          <w:noProof/>
        </w:rPr>
        <w:fldChar w:fldCharType="separate"/>
      </w:r>
      <w:r w:rsidRPr="00071C2A">
        <w:rPr>
          <w:rFonts w:cs="Times New Roman"/>
          <w:noProof/>
        </w:rPr>
        <w:t xml:space="preserve"> </w:t>
      </w:r>
      <w:r w:rsidRPr="00071C2A">
        <w:rPr>
          <w:rFonts w:cs="Times New Roman"/>
          <w:noProof/>
        </w:rPr>
        <w:fldChar w:fldCharType="end"/>
      </w:r>
      <w:r w:rsidRPr="00071C2A">
        <w:rPr>
          <w:rFonts w:cs="Times New Roman"/>
          <w:noProof/>
        </w:rPr>
        <w:t xml:space="preserve">con las misiones culturales </w:t>
      </w:r>
      <w:r>
        <w:rPr>
          <w:rFonts w:cs="Times New Roman"/>
          <w:noProof/>
        </w:rPr>
        <w:fldChar w:fldCharType="begin"/>
      </w:r>
      <w:r>
        <w:rPr>
          <w:rFonts w:cs="Times New Roman"/>
          <w:noProof/>
        </w:rPr>
        <w:instrText xml:space="preserve"> ADDIN ZOTERO_ITEM CSL_CITATION {"citationID":"eUc1gvPi","properties":{"formattedCitation":"(UNESCO, 1951, p. 16)","plainCitation":"(UNESCO, 1951, p. 16)","noteIndex":0},"citationItems":[{"id":13,"uris":["http://zotero.org/users/local/tvKJQPKe/items/KGVCUTF4"],"uri":["http://zotero.org/users/local/tvKJQPKe/items/KGVCUTF4"],"itemData":{"id":13,"type":"article-journal","container-title":"El correo de la Unesco","page":"16","title":"Las Misiones culturales mexicanas y la educación fundamental","URL":"https://unesdoc.unesco.org/ark:/48223/pf0000072391_spa","volume":"4(1 y 2)","author":[{"family":"UNESCO","given":""}],"accessed":{"date-parts":[["2020",2,21]]},"issued":{"date-parts":[["1951"]]}},"locator":"16"}],"schema":"https://github.com/citation-style-language/schema/raw/master/csl-citation.json"} </w:instrText>
      </w:r>
      <w:r>
        <w:rPr>
          <w:rFonts w:cs="Times New Roman"/>
          <w:noProof/>
        </w:rPr>
        <w:fldChar w:fldCharType="separate"/>
      </w:r>
      <w:r>
        <w:rPr>
          <w:rFonts w:cs="Times New Roman"/>
          <w:noProof/>
        </w:rPr>
        <w:t>(Unesco, 1951)</w:t>
      </w:r>
      <w:r>
        <w:rPr>
          <w:rFonts w:cs="Times New Roman"/>
          <w:noProof/>
        </w:rPr>
        <w:fldChar w:fldCharType="end"/>
      </w:r>
      <w:r>
        <w:rPr>
          <w:rFonts w:cs="Times New Roman"/>
          <w:noProof/>
        </w:rPr>
        <w:t xml:space="preserve"> </w:t>
      </w:r>
      <w:r w:rsidRPr="00071C2A">
        <w:rPr>
          <w:rFonts w:cs="Times New Roman"/>
          <w:noProof/>
        </w:rPr>
        <w:t xml:space="preserve">y evolucionó en cada una de sus etapas hasta llegar al uso del Internet. </w:t>
      </w:r>
      <w:r>
        <w:rPr>
          <w:rFonts w:cs="Times New Roman"/>
          <w:noProof/>
        </w:rPr>
        <w:t xml:space="preserve">En este recorrido, se ha pasado </w:t>
      </w:r>
      <w:r w:rsidRPr="00071C2A">
        <w:rPr>
          <w:rFonts w:cs="Times New Roman"/>
          <w:noProof/>
        </w:rPr>
        <w:t>de una modalidad al</w:t>
      </w:r>
      <w:r w:rsidR="001951AD">
        <w:rPr>
          <w:rFonts w:cs="Times New Roman"/>
          <w:noProof/>
        </w:rPr>
        <w:t>t</w:t>
      </w:r>
      <w:r w:rsidRPr="00071C2A">
        <w:rPr>
          <w:rFonts w:cs="Times New Roman"/>
          <w:noProof/>
        </w:rPr>
        <w:t xml:space="preserve">ernativa y poco demandada a </w:t>
      </w:r>
      <w:r>
        <w:rPr>
          <w:rFonts w:cs="Times New Roman"/>
          <w:noProof/>
        </w:rPr>
        <w:t>otra</w:t>
      </w:r>
      <w:r w:rsidRPr="00071C2A">
        <w:rPr>
          <w:rFonts w:cs="Times New Roman"/>
          <w:noProof/>
        </w:rPr>
        <w:t xml:space="preserve"> paralela y complementaria al sistema educativo convencional. </w:t>
      </w:r>
    </w:p>
    <w:p w14:paraId="2119E524" w14:textId="209AA93A" w:rsidR="000850FC" w:rsidRDefault="000850FC" w:rsidP="000850FC">
      <w:pPr>
        <w:ind w:firstLine="708"/>
        <w:rPr>
          <w:rFonts w:cs="Times New Roman"/>
          <w:noProof/>
        </w:rPr>
      </w:pPr>
      <w:r>
        <w:rPr>
          <w:rFonts w:cs="Times New Roman"/>
        </w:rPr>
        <w:t>Ahora bien, l</w:t>
      </w:r>
      <w:r w:rsidRPr="00071C2A">
        <w:rPr>
          <w:rFonts w:cs="Times New Roman"/>
        </w:rPr>
        <w:t xml:space="preserve">a educación en línea se caracteriza porque el eje del proceso educativo es el estudiante, puesto que al no haber presencialidad es </w:t>
      </w:r>
      <w:r>
        <w:rPr>
          <w:rFonts w:cs="Times New Roman"/>
        </w:rPr>
        <w:t>é</w:t>
      </w:r>
      <w:r w:rsidRPr="00071C2A">
        <w:rPr>
          <w:rFonts w:cs="Times New Roman"/>
        </w:rPr>
        <w:t xml:space="preserve">l </w:t>
      </w:r>
      <w:r>
        <w:rPr>
          <w:rFonts w:cs="Times New Roman"/>
        </w:rPr>
        <w:t xml:space="preserve">quien debe tomar el control, </w:t>
      </w:r>
      <w:r w:rsidRPr="00071C2A">
        <w:rPr>
          <w:rFonts w:cs="Times New Roman"/>
        </w:rPr>
        <w:t xml:space="preserve">organizando sus tiempos para cumplir los objetivos de aprendizaje en los </w:t>
      </w:r>
      <w:r>
        <w:rPr>
          <w:rFonts w:cs="Times New Roman"/>
        </w:rPr>
        <w:t>periodos</w:t>
      </w:r>
      <w:r w:rsidRPr="00071C2A">
        <w:rPr>
          <w:rFonts w:cs="Times New Roman"/>
        </w:rPr>
        <w:t xml:space="preserve"> establecidos por la institución </w:t>
      </w:r>
      <w:r w:rsidRPr="00071C2A">
        <w:rPr>
          <w:rFonts w:cs="Times New Roman"/>
        </w:rPr>
        <w:fldChar w:fldCharType="begin"/>
      </w:r>
      <w:r>
        <w:rPr>
          <w:rFonts w:cs="Times New Roman"/>
        </w:rPr>
        <w:instrText xml:space="preserve"> ADDIN ZOTERO_ITEM CSL_CITATION {"citationID":"kxaS9RAB","properties":{"formattedCitation":"(Kauffman, 2015)","plainCitation":"(Kauffman, 2015)","noteIndex":0},"citationItems":[{"id":15,"uris":["http://zotero.org/users/local/tvKJQPKe/items/YX7YNAX5"],"uri":["http://zotero.org/users/local/tvKJQPKe/items/YX7YNAX5"],"itemData":{"id":15,"type":"article-journal","abstract":"Students perceive online courses differently than traditional courses. Negative perceptions can lead to unfavourable learning outcomes including decreased motivation and persistence. Throughout this review, a broad range of factors that affect performance and satisfaction within the online learning environment for adult learners will be examined including learning outcomes, instructional design and learner characteristics, followed by suggestions for further research, and concluding with implications for online learning pertinent to administrators, instructors, course designers and students. Online learning may not be appropriate for every student. Identifying particular characteristics that contribute to online success versus failure may aid in predicting possible learning outcomes and save students from enrolling in online courses if this type of learning environment is not appropriate for them. Furthermore, knowing these learner attributes may assist faculty in designing quality online courses to meet students’ needs. Adequate instructional methods, support, course structure and design can facilitate student performance and satisfaction.","container-title":"Research in Learning Technology","ISSN":"2156-7077","language":"en","source":"repository.alt.ac.uk","title":"A review of predictive factors of student success in and satisfaction with online learning","URL":"https://doi.org/10.3402/rlt.v23.26507","volume":"Vol. 23","author":[{"family":"Kauffman","given":"Heather"}],"accessed":{"date-parts":[["2020",3,24]]},"issued":{"date-parts":[["2015",8,27]]}}}],"schema":"https://github.com/citation-style-language/schema/raw/master/csl-citation.json"} </w:instrText>
      </w:r>
      <w:r w:rsidRPr="00071C2A">
        <w:rPr>
          <w:rFonts w:cs="Times New Roman"/>
        </w:rPr>
        <w:fldChar w:fldCharType="separate"/>
      </w:r>
      <w:r>
        <w:rPr>
          <w:rFonts w:cs="Times New Roman"/>
          <w:noProof/>
        </w:rPr>
        <w:t>(Kauffman, 2015)</w:t>
      </w:r>
      <w:r w:rsidRPr="00071C2A">
        <w:rPr>
          <w:rFonts w:cs="Times New Roman"/>
        </w:rPr>
        <w:fldChar w:fldCharType="end"/>
      </w:r>
      <w:r w:rsidRPr="00071C2A">
        <w:rPr>
          <w:rFonts w:cs="Times New Roman"/>
        </w:rPr>
        <w:t>. Por esta razón</w:t>
      </w:r>
      <w:r>
        <w:rPr>
          <w:rFonts w:cs="Times New Roman"/>
        </w:rPr>
        <w:t>,</w:t>
      </w:r>
      <w:r w:rsidRPr="00071C2A">
        <w:rPr>
          <w:rFonts w:cs="Times New Roman"/>
        </w:rPr>
        <w:t xml:space="preserve"> se </w:t>
      </w:r>
      <w:r>
        <w:rPr>
          <w:rFonts w:cs="Times New Roman"/>
        </w:rPr>
        <w:t>pudiera</w:t>
      </w:r>
      <w:r w:rsidRPr="00071C2A">
        <w:rPr>
          <w:rFonts w:cs="Times New Roman"/>
        </w:rPr>
        <w:t xml:space="preserve"> pensar </w:t>
      </w:r>
      <w:r>
        <w:rPr>
          <w:rFonts w:cs="Times New Roman"/>
        </w:rPr>
        <w:t xml:space="preserve">de manera errónea </w:t>
      </w:r>
      <w:r w:rsidRPr="00071C2A">
        <w:rPr>
          <w:rFonts w:cs="Times New Roman"/>
        </w:rPr>
        <w:t xml:space="preserve">que el papel del docente en línea se desdibuja y pasa a ser un elemento carente de importancia. Sin embargo, la realidad es que </w:t>
      </w:r>
      <w:r w:rsidRPr="00071C2A">
        <w:rPr>
          <w:rFonts w:cs="Times New Roman"/>
        </w:rPr>
        <w:lastRenderedPageBreak/>
        <w:t>el docente sigue siendo uno de los pilares; de hecho</w:t>
      </w:r>
      <w:r>
        <w:rPr>
          <w:rFonts w:cs="Times New Roman"/>
        </w:rPr>
        <w:t>,</w:t>
      </w:r>
      <w:r w:rsidRPr="00071C2A">
        <w:rPr>
          <w:rFonts w:cs="Times New Roman"/>
        </w:rPr>
        <w:t xml:space="preserve"> su función es más compleja y demandante que en la educación tradicional, </w:t>
      </w:r>
      <w:r>
        <w:rPr>
          <w:rFonts w:cs="Times New Roman"/>
        </w:rPr>
        <w:t>ya que pasa de ser s</w:t>
      </w:r>
      <w:r w:rsidR="001951AD">
        <w:rPr>
          <w:rFonts w:cs="Times New Roman"/>
        </w:rPr>
        <w:t>ó</w:t>
      </w:r>
      <w:r w:rsidRPr="00071C2A">
        <w:rPr>
          <w:rFonts w:cs="Times New Roman"/>
        </w:rPr>
        <w:t xml:space="preserve">lo un transmisor de conocimiento y administrador del proceso educativo a cumplir roles diversos para los que es indispensable desarrollar competencias específicas de tipo pedagógico, social, administrativo, tecnológico </w:t>
      </w:r>
      <w:r>
        <w:rPr>
          <w:rFonts w:cs="Times New Roman"/>
        </w:rPr>
        <w:fldChar w:fldCharType="begin"/>
      </w:r>
      <w:r>
        <w:rPr>
          <w:rFonts w:cs="Times New Roman"/>
        </w:rPr>
        <w:instrText xml:space="preserve"> ADDIN ZOTERO_ITEM CSL_CITATION {"citationID":"nFKKXNOR","properties":{"formattedCitation":"(Berge, 1995)","plainCitation":"(Berge, 1995)","noteIndex":0},"citationItems":[{"id":"jSIoxcVM/vBsxi3Rz","uris":["http://zotero.org/users/local/tvKJQPKe/items/WSKR27YS"],"uri":["http://zotero.org/users/local/tvKJQPKe/items/WSKR27YS"],"itemData":{"id":"S8AXKFiM/EzVbXfSc","type":"webpage","title":"The Role of the Online Instructor/Facilitator","URL":"http://www.cordonline.net/mntutorial2/module_2/Reading%202-1%20instructor%20role.pdf","author":[{"family":"Berge","given":"Z"}],"issued":{"date-parts":[["1995"]]},"accessed":{"date-parts":[["2010",1,30]]}}}],"schema":"https://github.com/citation-style-language/schema/raw/master/csl-citation.json"} </w:instrText>
      </w:r>
      <w:r>
        <w:rPr>
          <w:rFonts w:cs="Times New Roman"/>
        </w:rPr>
        <w:fldChar w:fldCharType="separate"/>
      </w:r>
      <w:r>
        <w:rPr>
          <w:rFonts w:cs="Times New Roman"/>
          <w:noProof/>
        </w:rPr>
        <w:t>(Berge, 1995)</w:t>
      </w:r>
      <w:r>
        <w:rPr>
          <w:rFonts w:cs="Times New Roman"/>
        </w:rPr>
        <w:fldChar w:fldCharType="end"/>
      </w:r>
      <w:r w:rsidRPr="00071C2A">
        <w:rPr>
          <w:rFonts w:cs="Times New Roman"/>
        </w:rPr>
        <w:t xml:space="preserve"> y evaluativo </w:t>
      </w:r>
      <w:r>
        <w:rPr>
          <w:rFonts w:cs="Times New Roman"/>
        </w:rPr>
        <w:fldChar w:fldCharType="begin"/>
      </w:r>
      <w:r>
        <w:rPr>
          <w:rFonts w:cs="Times New Roman"/>
        </w:rPr>
        <w:instrText xml:space="preserve"> ADDIN ZOTERO_ITEM CSL_CITATION {"citationID":"4m3GGXhf","properties":{"formattedCitation":"(Paulsen, 1995)","plainCitation":"(Paulsen, 1995)","noteIndex":0},"citationItems":[{"id":45,"uris":["http://zotero.org/users/local/tvKJQPKe/items/5JS5GTMH"],"uri":["http://zotero.org/users/local/tvKJQPKe/items/5JS5GTMH"],"itemData":{"id":45,"type":"book","event-place":"Oslo","ISBN":"82-562-3690-6","publisher":"NKI Oslo, Norway","publisher-place":"Oslo","title":"The online report on pedagogical techniques for computer-mediated communication","URL":"http://paedpsych.jk.uni-linz.ac.at/PAEDPSYCH/NETSCHULE/NETSCHULELITERATUR/Paulsen95.html","author":[{"family":"Paulsen","given":"Morton Flate"}],"accessed":{"date-parts":[["2020",4,1]]},"issued":{"date-parts":[["1995"]]}}}],"schema":"https://github.com/citation-style-language/schema/raw/master/csl-citation.json"} </w:instrText>
      </w:r>
      <w:r>
        <w:rPr>
          <w:rFonts w:cs="Times New Roman"/>
        </w:rPr>
        <w:fldChar w:fldCharType="separate"/>
      </w:r>
      <w:r>
        <w:rPr>
          <w:rFonts w:cs="Times New Roman"/>
          <w:noProof/>
        </w:rPr>
        <w:t>(Paulsen, 1995)</w:t>
      </w:r>
      <w:r>
        <w:rPr>
          <w:rFonts w:cs="Times New Roman"/>
        </w:rPr>
        <w:fldChar w:fldCharType="end"/>
      </w:r>
      <w:r w:rsidRPr="00071C2A">
        <w:rPr>
          <w:rFonts w:cs="Times New Roman"/>
        </w:rPr>
        <w:t>.</w:t>
      </w:r>
    </w:p>
    <w:p w14:paraId="79784CEC" w14:textId="77777777" w:rsidR="000850FC" w:rsidRDefault="000850FC" w:rsidP="000850FC">
      <w:pPr>
        <w:ind w:firstLine="708"/>
        <w:rPr>
          <w:rFonts w:cs="Times New Roman"/>
        </w:rPr>
      </w:pPr>
      <w:r>
        <w:rPr>
          <w:rFonts w:cs="Times New Roman"/>
        </w:rPr>
        <w:t>Por ello, varias investigaciones han procurado determinar qué competencias debe desarrollar un docente en línea para cumplir con éxito su función. Al respecto, Castañeda</w:t>
      </w:r>
      <w:r w:rsidR="007A1D68">
        <w:rPr>
          <w:rFonts w:cs="Times New Roman"/>
        </w:rPr>
        <w:t>,</w:t>
      </w:r>
      <w:r w:rsidR="007A1D68" w:rsidRPr="007A1D68">
        <w:rPr>
          <w:rFonts w:cs="Times New Roman"/>
          <w:lang w:val="es-ES_tradnl"/>
        </w:rPr>
        <w:t xml:space="preserve"> Esteve y Adell</w:t>
      </w:r>
      <w:r>
        <w:rPr>
          <w:rFonts w:cs="Times New Roman"/>
        </w:rPr>
        <w:t xml:space="preserve"> </w:t>
      </w:r>
      <w:r>
        <w:rPr>
          <w:rFonts w:cs="Times New Roman"/>
        </w:rPr>
        <w:fldChar w:fldCharType="begin"/>
      </w:r>
      <w:r>
        <w:rPr>
          <w:rFonts w:cs="Times New Roman"/>
        </w:rPr>
        <w:instrText xml:space="preserve"> ADDIN ZOTERO_ITEM CSL_CITATION {"citationID":"WI6qF4kK","properties":{"formattedCitation":"(2018)","plainCitation":"(2018)","noteIndex":0},"citationItems":[{"id":188,"uris":["http://zotero.org/users/local/tvKJQPKe/items/GNVX3JJ6"],"uri":["http://zotero.org/users/local/tvKJQPKe/items/GNVX3JJ6"],"itemData":{"id":188,"type":"article-journal","container-title":"Revista de Educación a Distancia (RED)","ISSN":"1578-7680","issue":"56","journalAbbreviation":"Red","language":"es","note":"number: 56","source":"revistas.um.es","title":"¿Por qué es necesario repensar la competencia docente para el mundo digital?","URL":"https://revistas.um.es/red/article/view/321581","author":[{"family":"Castañeda","given":"Linda"},{"family":"Esteve","given":"Francesc"},{"family":"Adell","given":"Jordi"}],"accessed":{"date-parts":[["2021",4,14]]},"issued":{"date-parts":[["2018",3,26]]}},"suppress-author":true}],"schema":"https://github.com/citation-style-language/schema/raw/master/csl-citation.json"} </w:instrText>
      </w:r>
      <w:r>
        <w:rPr>
          <w:rFonts w:cs="Times New Roman"/>
        </w:rPr>
        <w:fldChar w:fldCharType="separate"/>
      </w:r>
      <w:r>
        <w:rPr>
          <w:rFonts w:cs="Times New Roman"/>
          <w:noProof/>
        </w:rPr>
        <w:t>(2018)</w:t>
      </w:r>
      <w:r>
        <w:rPr>
          <w:rFonts w:cs="Times New Roman"/>
        </w:rPr>
        <w:fldChar w:fldCharType="end"/>
      </w:r>
      <w:r>
        <w:rPr>
          <w:rFonts w:cs="Times New Roman"/>
        </w:rPr>
        <w:t xml:space="preserve"> destacan que usualmente las competencias para la docencia en línea se centran en el aspecto tecnológico, con un leve énfasis en el pedagógico. En tal sentido, una propuesta interesante de los autores es que los docentes deben trascender hacia situaciones y espacios reales donde el estudiante se desarrolle personal y profesionalmente para que su formación tenga pertinencia y sentido.</w:t>
      </w:r>
    </w:p>
    <w:p w14:paraId="172BF871" w14:textId="05FB4288" w:rsidR="000850FC" w:rsidRDefault="000850FC" w:rsidP="000850FC">
      <w:pPr>
        <w:ind w:firstLine="708"/>
        <w:rPr>
          <w:rFonts w:cs="Times New Roman"/>
          <w:lang w:eastAsia="es-ES"/>
        </w:rPr>
      </w:pPr>
      <w:r>
        <w:rPr>
          <w:rFonts w:cs="Times New Roman"/>
          <w:lang w:eastAsia="es-ES"/>
        </w:rPr>
        <w:t xml:space="preserve">García </w:t>
      </w:r>
      <w:r w:rsidRPr="000850FC">
        <w:rPr>
          <w:rFonts w:cs="Times New Roman"/>
          <w:i/>
          <w:lang w:eastAsia="es-ES"/>
        </w:rPr>
        <w:t>et al</w:t>
      </w:r>
      <w:r>
        <w:rPr>
          <w:rFonts w:cs="Times New Roman"/>
          <w:lang w:eastAsia="es-ES"/>
        </w:rPr>
        <w:t xml:space="preserve">. </w:t>
      </w:r>
      <w:r>
        <w:rPr>
          <w:rFonts w:cs="Times New Roman"/>
          <w:lang w:eastAsia="es-ES"/>
        </w:rPr>
        <w:fldChar w:fldCharType="begin"/>
      </w:r>
      <w:r>
        <w:rPr>
          <w:rFonts w:cs="Times New Roman"/>
          <w:lang w:eastAsia="es-ES"/>
        </w:rPr>
        <w:instrText xml:space="preserve"> ADDIN ZOTERO_ITEM CSL_CITATION {"citationID":"WA9PTVDa","properties":{"formattedCitation":"(2018)","plainCitation":"(2018)","noteIndex":0},"citationItems":[{"id":179,"uris":["http://zotero.org/users/local/tvKJQPKe/items/XMY89JU3"],"uri":["http://zotero.org/users/local/tvKJQPKe/items/XMY89JU3"],"itemData":{"id":179,"type":"article-journal","abstract":"The competencies of teachers working in virtual learning environments are complex; they have distinctive characteristics associated with novel formats of instructional design and teaching. They involve mastery to manage and monitor students’ learning, to give feedback on their performance, to stimulate motivation and group cohesion, to promote facilitating emotions and student’s self-regulating and metacognitive processes; so, it is necessary to generate a comprehensive model to evaluate them. This paper describes a Teaching Competences Assessment Model for Online Teaching (MECDL), which considers types of participants’ presence (teaching, cognitive, social, emotional and learning), as well as conversational cycles and instructional sequence. Focus groups with virtual learning modality experts (researchers and teachers) to validate the content of the dimensions, competences and indicators of the MECDL. The resulting parameters were contrasted with different models of online teaching to elaborate the final version of the model, which includes the forecast dimension of the teaching-learning process (five competences and 27 indicators), conduction of the teaching-learning process (three competences and 40 indicators), and evaluation of the impact of the teaching-learning process (one competency and six indicators). The MECDL is proposed to be used as a conceptual framework to guide the performance, evaluation and training of online learning faculty.","container-title":"RIED. Revista Iberoamericana de Educación a Distancia","language":"es","page":"23","source":"Zotero","title":"Las competencias docentes en entornos virtuales: un modelo para su evaluación","author":[{"family":"García-Cabrero","given":"Benilde"},{"family":"Serrano","given":"Edna Luna"},{"family":"Ceballos","given":"Salvador Ponce"},{"family":"Cisneros-Cohernour","given":"Edith J"},{"family":"Arroyo","given":"Graciela Cordero"},{"family":"Díaz","given":"Yessica Espinosa"},{"family":"Vigil","given":"María Hortensia García"}],"issued":{"date-parts":[["2018"]]}},"suppress-author":true}],"schema":"https://github.com/citation-style-language/schema/raw/master/csl-citation.json"} </w:instrText>
      </w:r>
      <w:r>
        <w:rPr>
          <w:rFonts w:cs="Times New Roman"/>
          <w:lang w:eastAsia="es-ES"/>
        </w:rPr>
        <w:fldChar w:fldCharType="separate"/>
      </w:r>
      <w:r>
        <w:rPr>
          <w:rFonts w:cs="Times New Roman"/>
          <w:noProof/>
          <w:lang w:eastAsia="es-ES"/>
        </w:rPr>
        <w:t>(2018)</w:t>
      </w:r>
      <w:r>
        <w:rPr>
          <w:rFonts w:cs="Times New Roman"/>
          <w:lang w:eastAsia="es-ES"/>
        </w:rPr>
        <w:fldChar w:fldCharType="end"/>
      </w:r>
      <w:r w:rsidR="00B92B04">
        <w:rPr>
          <w:rFonts w:cs="Times New Roman"/>
          <w:lang w:eastAsia="es-ES"/>
        </w:rPr>
        <w:t>, por su parte,</w:t>
      </w:r>
      <w:r>
        <w:rPr>
          <w:rFonts w:cs="Times New Roman"/>
          <w:lang w:eastAsia="es-ES"/>
        </w:rPr>
        <w:t xml:space="preserve"> retoman varios modelos para la evaluación de competencias docentes dentro de los cuales notan una desvinculación hacia aspectos de tipo social </w:t>
      </w:r>
      <w:r w:rsidR="00B92B04">
        <w:rPr>
          <w:rFonts w:cs="Times New Roman"/>
          <w:lang w:eastAsia="es-ES"/>
        </w:rPr>
        <w:t xml:space="preserve">y </w:t>
      </w:r>
      <w:r>
        <w:rPr>
          <w:rFonts w:cs="Times New Roman"/>
          <w:lang w:eastAsia="es-ES"/>
        </w:rPr>
        <w:t>emocional</w:t>
      </w:r>
      <w:r w:rsidR="00B92B04">
        <w:rPr>
          <w:rFonts w:cs="Times New Roman"/>
          <w:lang w:eastAsia="es-ES"/>
        </w:rPr>
        <w:t xml:space="preserve">; por ende, </w:t>
      </w:r>
      <w:r>
        <w:rPr>
          <w:rFonts w:cs="Times New Roman"/>
          <w:lang w:eastAsia="es-ES"/>
        </w:rPr>
        <w:t xml:space="preserve">enfatizan la </w:t>
      </w:r>
      <w:r w:rsidR="00B92B04">
        <w:rPr>
          <w:rFonts w:cs="Times New Roman"/>
          <w:lang w:eastAsia="es-ES"/>
        </w:rPr>
        <w:t>necesidad</w:t>
      </w:r>
      <w:r>
        <w:rPr>
          <w:rFonts w:cs="Times New Roman"/>
          <w:lang w:eastAsia="es-ES"/>
        </w:rPr>
        <w:t xml:space="preserve"> de que los docentes en línea no s</w:t>
      </w:r>
      <w:r w:rsidR="001951AD">
        <w:rPr>
          <w:rFonts w:cs="Times New Roman"/>
          <w:lang w:eastAsia="es-ES"/>
        </w:rPr>
        <w:t>ó</w:t>
      </w:r>
      <w:r>
        <w:rPr>
          <w:rFonts w:cs="Times New Roman"/>
          <w:lang w:eastAsia="es-ES"/>
        </w:rPr>
        <w:t xml:space="preserve">lo se centren en aspectos cognitivos y tecnológicos, sino que desarrollen su práctica de forma tal que realmente ayuden a gestionar y monitorear el aprendizaje de sus </w:t>
      </w:r>
      <w:r w:rsidR="00B92B04">
        <w:rPr>
          <w:rFonts w:cs="Times New Roman"/>
          <w:lang w:eastAsia="es-ES"/>
        </w:rPr>
        <w:t>estudiantes</w:t>
      </w:r>
      <w:r>
        <w:rPr>
          <w:rFonts w:cs="Times New Roman"/>
          <w:lang w:eastAsia="es-ES"/>
        </w:rPr>
        <w:t xml:space="preserve">, </w:t>
      </w:r>
      <w:r w:rsidR="00B92B04">
        <w:rPr>
          <w:rFonts w:cs="Times New Roman"/>
          <w:lang w:eastAsia="es-ES"/>
        </w:rPr>
        <w:t>retroalimentando</w:t>
      </w:r>
      <w:r>
        <w:rPr>
          <w:rFonts w:cs="Times New Roman"/>
          <w:lang w:eastAsia="es-ES"/>
        </w:rPr>
        <w:t xml:space="preserve"> su desempeño y motivando la cohesión grupal</w:t>
      </w:r>
      <w:r w:rsidR="00B92B04">
        <w:rPr>
          <w:rFonts w:cs="Times New Roman"/>
          <w:lang w:eastAsia="es-ES"/>
        </w:rPr>
        <w:t xml:space="preserve"> mediante </w:t>
      </w:r>
      <w:r>
        <w:rPr>
          <w:rFonts w:cs="Times New Roman"/>
          <w:lang w:eastAsia="es-ES"/>
        </w:rPr>
        <w:t>procesos de autor</w:t>
      </w:r>
      <w:r w:rsidR="00B92B04">
        <w:rPr>
          <w:rFonts w:cs="Times New Roman"/>
          <w:lang w:eastAsia="es-ES"/>
        </w:rPr>
        <w:t>r</w:t>
      </w:r>
      <w:r>
        <w:rPr>
          <w:rFonts w:cs="Times New Roman"/>
          <w:lang w:eastAsia="es-ES"/>
        </w:rPr>
        <w:t xml:space="preserve">egulación. Esta perspectiva resulta interesante </w:t>
      </w:r>
      <w:r w:rsidR="00B92B04">
        <w:rPr>
          <w:rFonts w:cs="Times New Roman"/>
          <w:lang w:eastAsia="es-ES"/>
        </w:rPr>
        <w:t>por</w:t>
      </w:r>
      <w:r>
        <w:rPr>
          <w:rFonts w:cs="Times New Roman"/>
          <w:lang w:eastAsia="es-ES"/>
        </w:rPr>
        <w:t xml:space="preserve">que también enfatiza el aspecto social y va un poco más profundo en la motivación de emociones, lo cual </w:t>
      </w:r>
      <w:r w:rsidR="00B92B04">
        <w:rPr>
          <w:rFonts w:cs="Times New Roman"/>
          <w:lang w:eastAsia="es-ES"/>
        </w:rPr>
        <w:t>—</w:t>
      </w:r>
      <w:r>
        <w:rPr>
          <w:rFonts w:cs="Times New Roman"/>
          <w:lang w:eastAsia="es-ES"/>
        </w:rPr>
        <w:t>según esta postura</w:t>
      </w:r>
      <w:r w:rsidR="00B92B04">
        <w:rPr>
          <w:rFonts w:cs="Times New Roman"/>
          <w:lang w:eastAsia="es-ES"/>
        </w:rPr>
        <w:t>—</w:t>
      </w:r>
      <w:r>
        <w:rPr>
          <w:rFonts w:cs="Times New Roman"/>
          <w:lang w:eastAsia="es-ES"/>
        </w:rPr>
        <w:t xml:space="preserve"> se logra mediante una participación activa, constante y entregada del docente hacia el grupo de estudio y la disciplina que enseña</w:t>
      </w:r>
      <w:r w:rsidR="00B92B04">
        <w:rPr>
          <w:rFonts w:cs="Times New Roman"/>
          <w:lang w:eastAsia="es-ES"/>
        </w:rPr>
        <w:t>.</w:t>
      </w:r>
    </w:p>
    <w:p w14:paraId="0CE6C086" w14:textId="04AEC5D8" w:rsidR="000850FC" w:rsidRDefault="000850FC" w:rsidP="000850FC">
      <w:pPr>
        <w:rPr>
          <w:rFonts w:cs="Times New Roman"/>
          <w:lang w:eastAsia="es-ES"/>
        </w:rPr>
      </w:pPr>
      <w:r>
        <w:rPr>
          <w:rFonts w:cs="Times New Roman"/>
          <w:lang w:eastAsia="es-ES"/>
        </w:rPr>
        <w:tab/>
      </w:r>
      <w:r w:rsidR="00B92B04">
        <w:rPr>
          <w:rFonts w:cs="Times New Roman"/>
          <w:lang w:eastAsia="es-ES"/>
        </w:rPr>
        <w:t xml:space="preserve">Asimismo, </w:t>
      </w:r>
      <w:r>
        <w:rPr>
          <w:rFonts w:cs="Times New Roman"/>
          <w:lang w:eastAsia="es-ES"/>
        </w:rPr>
        <w:t xml:space="preserve">Campos </w:t>
      </w:r>
      <w:r w:rsidR="00B92B04">
        <w:rPr>
          <w:rFonts w:cs="Times New Roman"/>
          <w:lang w:eastAsia="es-ES"/>
        </w:rPr>
        <w:t>Céspedes</w:t>
      </w:r>
      <w:r w:rsidR="007A1D68">
        <w:rPr>
          <w:rFonts w:cs="Times New Roman"/>
          <w:lang w:eastAsia="es-ES"/>
        </w:rPr>
        <w:t>,</w:t>
      </w:r>
      <w:r w:rsidR="007A1D68" w:rsidRPr="007A1D68">
        <w:rPr>
          <w:rFonts w:cs="Times New Roman"/>
          <w:lang w:val="es-ES_tradnl"/>
        </w:rPr>
        <w:t xml:space="preserve"> </w:t>
      </w:r>
      <w:r w:rsidR="007A1D68" w:rsidRPr="00BE65A0">
        <w:rPr>
          <w:rFonts w:cs="Times New Roman"/>
          <w:lang w:val="es-ES_tradnl"/>
        </w:rPr>
        <w:t>Brenes Matarrita</w:t>
      </w:r>
      <w:r w:rsidR="007A1D68">
        <w:rPr>
          <w:rFonts w:cs="Times New Roman"/>
          <w:lang w:val="es-ES_tradnl"/>
        </w:rPr>
        <w:t xml:space="preserve"> y</w:t>
      </w:r>
      <w:r w:rsidR="007A1D68" w:rsidRPr="00BE65A0">
        <w:rPr>
          <w:rFonts w:cs="Times New Roman"/>
          <w:lang w:val="es-ES_tradnl"/>
        </w:rPr>
        <w:t xml:space="preserve"> Solano Castro</w:t>
      </w:r>
      <w:r>
        <w:rPr>
          <w:rFonts w:cs="Times New Roman"/>
          <w:lang w:eastAsia="es-ES"/>
        </w:rPr>
        <w:t xml:space="preserve"> </w:t>
      </w:r>
      <w:r>
        <w:rPr>
          <w:rFonts w:cs="Times New Roman"/>
          <w:lang w:eastAsia="es-ES"/>
        </w:rPr>
        <w:fldChar w:fldCharType="begin"/>
      </w:r>
      <w:r>
        <w:rPr>
          <w:rFonts w:cs="Times New Roman"/>
          <w:lang w:eastAsia="es-ES"/>
        </w:rPr>
        <w:instrText xml:space="preserve"> ADDIN ZOTERO_ITEM CSL_CITATION {"citationID":"yEreQHFn","properties":{"formattedCitation":"(2011, p. 9)","plainCitation":"(2011, p. 9)","noteIndex":0},"citationItems":[{"id":181,"uris":["http://zotero.org/users/local/tvKJQPKe/items/Y7UJ5K7N"],"uri":["http://zotero.org/users/local/tvKJQPKe/items/Y7UJ5K7N"],"itemData":{"id":181,"type":"article-journal","abstract":"This article proposes a profile of skills for long distance university level teaching on line. For the design of this profile a literature review was realized in two phases, one convergent on searches on ERIC data bases, using as discriminators the publication period 2008-2010 and the key word \"teacher aptitudes\". In this phase we obtained a total of 245 documents and a divergent phase was realized in which the titles and summaries of the selected documents were more closely related for teaching on line. Those documents were refilter using relevant criteria of the aptitudes proposed by the authors, with the new trends in education. Then, the analysis of those refiltered papers was realized and coincidences between skills and aptitudes were identified for the educators that labored using learning platforms on line.Once identified the proposed aptitud or competence of the different authors, these were compared with the tendencies in long distance education and words were identified on aspects of the profile that, just be taking into account in the profile of the on line educator (teacher) in view of the actual developments on this education method. Finally, we proceeded to design a proposal profile with a series of considered vital habilities for the execution of the education activity in this long distance educational context. This profile could be used for self-evaluation of the teachers and as an input in the selection process and teaching professional development.","container-title":"Actualidades Investigativas en Educación","DOI":"10.15517/aie.v10i3.10141","ISSN":"1409-4703","issue":"3","journalAbbreviation":"Act. Inv. en Educ.","language":"es","source":"DOI.org (Crossref)","title":"Competencias del docente de educación superior en línea","URL":"http://revistas.ucr.ac.cr/index.php/aie/article/view/10141","volume":"10","author":[{"family":"Campos Céspedes","given":"Jensy"},{"family":"Brenes Matarrita","given":"Olga Ligia"},{"family":"Solano Castro","given":"Adrián"}],"accessed":{"date-parts":[["2021",4,14]]},"issued":{"date-parts":[["2011",3,28]]}},"locator":"9","suppress-author":true}],"schema":"https://github.com/citation-style-language/schema/raw/master/csl-citation.json"} </w:instrText>
      </w:r>
      <w:r>
        <w:rPr>
          <w:rFonts w:cs="Times New Roman"/>
          <w:lang w:eastAsia="es-ES"/>
        </w:rPr>
        <w:fldChar w:fldCharType="separate"/>
      </w:r>
      <w:r>
        <w:rPr>
          <w:rFonts w:cs="Times New Roman"/>
          <w:noProof/>
          <w:lang w:eastAsia="es-ES"/>
        </w:rPr>
        <w:t>(2011)</w:t>
      </w:r>
      <w:r>
        <w:rPr>
          <w:rFonts w:cs="Times New Roman"/>
          <w:lang w:eastAsia="es-ES"/>
        </w:rPr>
        <w:fldChar w:fldCharType="end"/>
      </w:r>
      <w:r>
        <w:rPr>
          <w:rFonts w:cs="Times New Roman"/>
          <w:lang w:eastAsia="es-ES"/>
        </w:rPr>
        <w:t xml:space="preserve"> agregan </w:t>
      </w:r>
      <w:r w:rsidR="00B92B04">
        <w:rPr>
          <w:rFonts w:cs="Times New Roman"/>
          <w:lang w:eastAsia="es-ES"/>
        </w:rPr>
        <w:t>a las competencias tecnológicas, pedagógicas y sociales no s</w:t>
      </w:r>
      <w:r w:rsidR="004A5134">
        <w:rPr>
          <w:rFonts w:cs="Times New Roman"/>
          <w:lang w:eastAsia="es-ES"/>
        </w:rPr>
        <w:t>ó</w:t>
      </w:r>
      <w:r w:rsidR="00B92B04">
        <w:rPr>
          <w:rFonts w:cs="Times New Roman"/>
          <w:lang w:eastAsia="es-ES"/>
        </w:rPr>
        <w:t xml:space="preserve">lo </w:t>
      </w:r>
      <w:r>
        <w:rPr>
          <w:rFonts w:cs="Times New Roman"/>
          <w:lang w:eastAsia="es-ES"/>
        </w:rPr>
        <w:t xml:space="preserve">las </w:t>
      </w:r>
      <w:r w:rsidR="00B92B04">
        <w:rPr>
          <w:rFonts w:cs="Times New Roman"/>
          <w:lang w:eastAsia="es-ES"/>
        </w:rPr>
        <w:t xml:space="preserve">competencias </w:t>
      </w:r>
      <w:r>
        <w:rPr>
          <w:rFonts w:cs="Times New Roman"/>
          <w:lang w:eastAsia="es-ES"/>
        </w:rPr>
        <w:t>investigativas para fomentar en los estudiantes una visión capaz de abordar las situaciones de atención de su profesión con una visión sistémica científic</w:t>
      </w:r>
      <w:r w:rsidR="00B92B04">
        <w:rPr>
          <w:rFonts w:cs="Times New Roman"/>
          <w:lang w:eastAsia="es-ES"/>
        </w:rPr>
        <w:t xml:space="preserve">a, sino también </w:t>
      </w:r>
      <w:r>
        <w:rPr>
          <w:rFonts w:cs="Times New Roman"/>
          <w:lang w:eastAsia="es-ES"/>
        </w:rPr>
        <w:t>la competencia de liderazgo académico, entendid</w:t>
      </w:r>
      <w:r w:rsidR="00B92B04">
        <w:rPr>
          <w:rFonts w:cs="Times New Roman"/>
          <w:lang w:eastAsia="es-ES"/>
        </w:rPr>
        <w:t>a</w:t>
      </w:r>
      <w:r>
        <w:rPr>
          <w:rFonts w:cs="Times New Roman"/>
          <w:lang w:eastAsia="es-ES"/>
        </w:rPr>
        <w:t xml:space="preserve"> como la búsqueda constante de la excelencia académica. En esta propuesta no se contemplan habilidades especiales en cuestiones psicológicas o más </w:t>
      </w:r>
      <w:r w:rsidR="00B92B04">
        <w:rPr>
          <w:rFonts w:cs="Times New Roman"/>
          <w:lang w:eastAsia="es-ES"/>
        </w:rPr>
        <w:t>prácticas,</w:t>
      </w:r>
      <w:r>
        <w:rPr>
          <w:rFonts w:cs="Times New Roman"/>
          <w:lang w:eastAsia="es-ES"/>
        </w:rPr>
        <w:t xml:space="preserve"> como la evaluación o la </w:t>
      </w:r>
      <w:r w:rsidR="00B92B04">
        <w:rPr>
          <w:rFonts w:cs="Times New Roman"/>
          <w:lang w:eastAsia="es-ES"/>
        </w:rPr>
        <w:t>administración</w:t>
      </w:r>
      <w:r>
        <w:rPr>
          <w:rFonts w:cs="Times New Roman"/>
          <w:lang w:eastAsia="es-ES"/>
        </w:rPr>
        <w:t xml:space="preserve"> de recursos.</w:t>
      </w:r>
    </w:p>
    <w:p w14:paraId="0B74945F" w14:textId="3FE8A844" w:rsidR="000850FC" w:rsidRDefault="000850FC" w:rsidP="000850FC">
      <w:pPr>
        <w:rPr>
          <w:rFonts w:cs="Times New Roman"/>
          <w:lang w:eastAsia="es-ES"/>
        </w:rPr>
      </w:pPr>
      <w:r>
        <w:rPr>
          <w:rFonts w:cs="Times New Roman"/>
          <w:lang w:eastAsia="es-ES"/>
        </w:rPr>
        <w:tab/>
        <w:t>En una visión diferente y complementaria a lo anteriormente expuesto</w:t>
      </w:r>
      <w:r w:rsidR="00B92B04">
        <w:rPr>
          <w:rFonts w:cs="Times New Roman"/>
          <w:lang w:eastAsia="es-ES"/>
        </w:rPr>
        <w:t>,</w:t>
      </w:r>
      <w:r>
        <w:rPr>
          <w:rFonts w:cs="Times New Roman"/>
          <w:lang w:eastAsia="es-ES"/>
        </w:rPr>
        <w:t xml:space="preserve"> Tejeda Fernández y Pozos Pérez </w:t>
      </w:r>
      <w:r>
        <w:rPr>
          <w:rFonts w:cs="Times New Roman"/>
          <w:lang w:eastAsia="es-ES"/>
        </w:rPr>
        <w:fldChar w:fldCharType="begin"/>
      </w:r>
      <w:r>
        <w:rPr>
          <w:rFonts w:cs="Times New Roman"/>
          <w:lang w:eastAsia="es-ES"/>
        </w:rPr>
        <w:instrText xml:space="preserve"> ADDIN ZOTERO_ITEM CSL_CITATION {"citationID":"RNLzCNTK","properties":{"formattedCitation":"(2018, p. 30)","plainCitation":"(2018, p. 30)","noteIndex":0},"citationItems":[{"id":185,"uris":["http://zotero.org/users/local/tvKJQPKe/items/ARWF7W87"],"uri":["http://zotero.org/users/local/tvKJQPKe/items/ARWF7W87"],"itemData":{"id":185,"type":"article-journal","container-title":"Profesorado, Revista de Currículum y Formación del Profesorado","DOI":"10.30827/profesorado.v22i1.9917","ISSN":"1989-6395","issue":"1","language":"es","note":"number: 1","page":"25-51","source":"revistaseug.ugr.es","title":"Nuevos escenarios y competencias digitales docentes: Hacia la profesionalización docente con TIC","title-short":"Nuevos escenarios y competencias digitales docentes","URL":"http://revistaseug.ugr.es/index.php/profesorado/article/view/9917","volume":"22","author":[{"family":"Tejeda Fernández","given":"José"},{"family":"Pozos Pérez","given":"Katia V."}],"accessed":{"date-parts":[["2021",4,14]]},"issued":{"date-parts":[["2018",3,1]]}},"locator":"30","suppress-author":true}],"schema":"https://github.com/citation-style-language/schema/raw/master/csl-citation.json"} </w:instrText>
      </w:r>
      <w:r>
        <w:rPr>
          <w:rFonts w:cs="Times New Roman"/>
          <w:lang w:eastAsia="es-ES"/>
        </w:rPr>
        <w:fldChar w:fldCharType="separate"/>
      </w:r>
      <w:r>
        <w:rPr>
          <w:rFonts w:cs="Times New Roman"/>
          <w:noProof/>
          <w:lang w:eastAsia="es-ES"/>
        </w:rPr>
        <w:t>(2018)</w:t>
      </w:r>
      <w:r>
        <w:rPr>
          <w:rFonts w:cs="Times New Roman"/>
          <w:lang w:eastAsia="es-ES"/>
        </w:rPr>
        <w:fldChar w:fldCharType="end"/>
      </w:r>
      <w:r>
        <w:rPr>
          <w:rFonts w:cs="Times New Roman"/>
          <w:lang w:eastAsia="es-ES"/>
        </w:rPr>
        <w:t xml:space="preserve"> </w:t>
      </w:r>
      <w:r w:rsidR="00B92B04">
        <w:rPr>
          <w:rFonts w:cs="Times New Roman"/>
          <w:lang w:eastAsia="es-ES"/>
        </w:rPr>
        <w:t xml:space="preserve">profundizan en </w:t>
      </w:r>
      <w:r>
        <w:rPr>
          <w:rFonts w:cs="Times New Roman"/>
          <w:lang w:eastAsia="es-ES"/>
        </w:rPr>
        <w:t xml:space="preserve">la </w:t>
      </w:r>
      <w:r w:rsidR="00B92B04">
        <w:rPr>
          <w:rFonts w:cs="Times New Roman"/>
          <w:lang w:eastAsia="es-ES"/>
        </w:rPr>
        <w:t>competencia</w:t>
      </w:r>
      <w:r>
        <w:rPr>
          <w:rFonts w:cs="Times New Roman"/>
          <w:lang w:eastAsia="es-ES"/>
        </w:rPr>
        <w:t xml:space="preserve"> tecnológica</w:t>
      </w:r>
      <w:r w:rsidR="00B92B04">
        <w:rPr>
          <w:rFonts w:cs="Times New Roman"/>
          <w:lang w:eastAsia="es-ES"/>
        </w:rPr>
        <w:t xml:space="preserve"> y sus </w:t>
      </w:r>
      <w:r>
        <w:rPr>
          <w:rFonts w:cs="Times New Roman"/>
          <w:lang w:eastAsia="es-ES"/>
        </w:rPr>
        <w:t xml:space="preserve">implicaciones para el docente en línea. Esta perspectiva representa un reto importante para todo aquel que desee incursionar en la educación </w:t>
      </w:r>
      <w:r w:rsidR="00B92B04">
        <w:rPr>
          <w:rFonts w:cs="Times New Roman"/>
          <w:lang w:eastAsia="es-ES"/>
        </w:rPr>
        <w:t>virtual</w:t>
      </w:r>
      <w:r>
        <w:rPr>
          <w:rFonts w:cs="Times New Roman"/>
          <w:lang w:eastAsia="es-ES"/>
        </w:rPr>
        <w:t>, así como para las instituciones</w:t>
      </w:r>
      <w:r w:rsidR="00B92B04">
        <w:rPr>
          <w:rFonts w:cs="Times New Roman"/>
          <w:lang w:eastAsia="es-ES"/>
        </w:rPr>
        <w:t>, pues</w:t>
      </w:r>
      <w:r>
        <w:rPr>
          <w:rFonts w:cs="Times New Roman"/>
          <w:lang w:eastAsia="es-ES"/>
        </w:rPr>
        <w:t xml:space="preserve"> </w:t>
      </w:r>
      <w:r w:rsidR="00B92B04">
        <w:rPr>
          <w:rFonts w:cs="Times New Roman"/>
          <w:lang w:eastAsia="es-ES"/>
        </w:rPr>
        <w:t xml:space="preserve">deben </w:t>
      </w:r>
      <w:r>
        <w:rPr>
          <w:rFonts w:cs="Times New Roman"/>
          <w:lang w:eastAsia="es-ES"/>
        </w:rPr>
        <w:t>formar a docente</w:t>
      </w:r>
      <w:r w:rsidR="00B92B04">
        <w:rPr>
          <w:rFonts w:cs="Times New Roman"/>
          <w:lang w:eastAsia="es-ES"/>
        </w:rPr>
        <w:t>s</w:t>
      </w:r>
      <w:r>
        <w:rPr>
          <w:rFonts w:cs="Times New Roman"/>
          <w:lang w:eastAsia="es-ES"/>
        </w:rPr>
        <w:t xml:space="preserve"> </w:t>
      </w:r>
      <w:r w:rsidR="00B92B04">
        <w:rPr>
          <w:rFonts w:cs="Times New Roman"/>
          <w:lang w:eastAsia="es-ES"/>
        </w:rPr>
        <w:t>que sean capaces de</w:t>
      </w:r>
      <w:r>
        <w:rPr>
          <w:rFonts w:cs="Times New Roman"/>
          <w:lang w:eastAsia="es-ES"/>
        </w:rPr>
        <w:t xml:space="preserve"> diferenciar y aplicar eficazmente cada posibilidad.</w:t>
      </w:r>
    </w:p>
    <w:p w14:paraId="126CC320" w14:textId="77777777" w:rsidR="000850FC" w:rsidRDefault="000850FC" w:rsidP="00A166FF">
      <w:pPr>
        <w:rPr>
          <w:rFonts w:cs="Times New Roman"/>
          <w:lang w:eastAsia="es-ES"/>
        </w:rPr>
      </w:pPr>
      <w:r>
        <w:rPr>
          <w:rFonts w:cs="Times New Roman"/>
          <w:lang w:eastAsia="es-ES"/>
        </w:rPr>
        <w:lastRenderedPageBreak/>
        <w:tab/>
        <w:t xml:space="preserve">Otro estudio interesante lo presentan </w:t>
      </w:r>
      <w:proofErr w:type="spellStart"/>
      <w:r>
        <w:rPr>
          <w:rFonts w:cs="Times New Roman"/>
          <w:lang w:eastAsia="es-ES"/>
        </w:rPr>
        <w:t>Fernandes</w:t>
      </w:r>
      <w:proofErr w:type="spellEnd"/>
      <w:r w:rsidR="007A1D68">
        <w:rPr>
          <w:rFonts w:cs="Times New Roman"/>
          <w:lang w:eastAsia="es-ES"/>
        </w:rPr>
        <w:t>,</w:t>
      </w:r>
      <w:r w:rsidR="007A1D68" w:rsidRPr="007A1D68">
        <w:rPr>
          <w:rFonts w:cs="Times New Roman"/>
          <w:lang w:val="es-ES_tradnl"/>
        </w:rPr>
        <w:t xml:space="preserve"> </w:t>
      </w:r>
      <w:proofErr w:type="spellStart"/>
      <w:r w:rsidR="007A1D68" w:rsidRPr="00BE65A0">
        <w:rPr>
          <w:rFonts w:cs="Times New Roman"/>
          <w:lang w:val="es-ES_tradnl"/>
        </w:rPr>
        <w:t>Sotolongo</w:t>
      </w:r>
      <w:proofErr w:type="spellEnd"/>
      <w:r w:rsidR="007A1D68">
        <w:rPr>
          <w:rFonts w:cs="Times New Roman"/>
          <w:lang w:val="es-ES_tradnl"/>
        </w:rPr>
        <w:t xml:space="preserve"> y</w:t>
      </w:r>
      <w:r w:rsidR="007A1D68" w:rsidRPr="00BE65A0">
        <w:rPr>
          <w:rFonts w:cs="Times New Roman"/>
          <w:lang w:val="es-ES_tradnl"/>
        </w:rPr>
        <w:t xml:space="preserve"> Martínez</w:t>
      </w:r>
      <w:r>
        <w:rPr>
          <w:rFonts w:cs="Times New Roman"/>
          <w:lang w:eastAsia="es-ES"/>
        </w:rPr>
        <w:t xml:space="preserve"> </w:t>
      </w:r>
      <w:r>
        <w:rPr>
          <w:rFonts w:cs="Times New Roman"/>
          <w:lang w:eastAsia="es-ES"/>
        </w:rPr>
        <w:fldChar w:fldCharType="begin"/>
      </w:r>
      <w:r>
        <w:rPr>
          <w:rFonts w:cs="Times New Roman"/>
          <w:lang w:eastAsia="es-ES"/>
        </w:rPr>
        <w:instrText xml:space="preserve"> ADDIN ZOTERO_ITEM CSL_CITATION {"citationID":"GSBpMJXw","properties":{"formattedCitation":"(2016, p. 18)","plainCitation":"(2016, p. 18)","noteIndex":0},"citationItems":[{"id":182,"uris":["http://zotero.org/users/local/tvKJQPKe/items/2V8LLLIJ"],"uri":["http://zotero.org/users/local/tvKJQPKe/items/2V8LLLIJ"],"itemData":{"id":182,"type":"article-journal","container-title":"Formación universitaria","DOI":"10.4067/S0718-50062016000500003","ISSN":"0718-5006","issue":"5","note":"publisher: Centro de Información Tecnológica","page":"15-24","source":"SciELO","title":"La Evaluación del Desempeño por Competencias: Percepciones de Docentes y Estudiantes en la Educación Superior","title-short":"La Evaluación del Desempeño por Competencias","URL":"https://scielo.conicyt.cl/scielo.php?script=sci_abstract&amp;pid=S0718-50062016000500003&amp;lng=es&amp;nrm=iso&amp;tlng=n","volume":"9","author":[{"family":"Fernandes","given":"Domingos J."},{"family":"Sotolongo","given":"Maria"},{"family":"Martínez","given":"Carlos C."}],"accessed":{"date-parts":[["2021",4,14]]},"issued":{"date-parts":[["2016"]]}},"locator":"18","suppress-author":true}],"schema":"https://github.com/citation-style-language/schema/raw/master/csl-citation.json"} </w:instrText>
      </w:r>
      <w:r>
        <w:rPr>
          <w:rFonts w:cs="Times New Roman"/>
          <w:lang w:eastAsia="es-ES"/>
        </w:rPr>
        <w:fldChar w:fldCharType="separate"/>
      </w:r>
      <w:r>
        <w:rPr>
          <w:rFonts w:cs="Times New Roman"/>
          <w:noProof/>
          <w:lang w:eastAsia="es-ES"/>
        </w:rPr>
        <w:t>(2016)</w:t>
      </w:r>
      <w:r>
        <w:rPr>
          <w:rFonts w:cs="Times New Roman"/>
          <w:lang w:eastAsia="es-ES"/>
        </w:rPr>
        <w:fldChar w:fldCharType="end"/>
      </w:r>
      <w:r>
        <w:rPr>
          <w:rFonts w:cs="Times New Roman"/>
          <w:lang w:eastAsia="es-ES"/>
        </w:rPr>
        <w:t xml:space="preserve">, quienes </w:t>
      </w:r>
      <w:r w:rsidR="00A166FF">
        <w:rPr>
          <w:rFonts w:cs="Times New Roman"/>
          <w:lang w:eastAsia="es-ES"/>
        </w:rPr>
        <w:t>procuran identificar</w:t>
      </w:r>
      <w:r>
        <w:rPr>
          <w:rFonts w:cs="Times New Roman"/>
          <w:lang w:eastAsia="es-ES"/>
        </w:rPr>
        <w:t xml:space="preserve"> las competencias necesarias para el docente universitario, </w:t>
      </w:r>
      <w:r w:rsidR="00A166FF">
        <w:rPr>
          <w:rFonts w:cs="Times New Roman"/>
          <w:lang w:eastAsia="es-ES"/>
        </w:rPr>
        <w:t>las cuales no deben estar asociadas únicamente con el saber tecnológico, sino también con el pedagógico e investigativo</w:t>
      </w:r>
      <w:r>
        <w:rPr>
          <w:rFonts w:cs="Times New Roman"/>
          <w:lang w:eastAsia="es-ES"/>
        </w:rPr>
        <w:t>.</w:t>
      </w:r>
    </w:p>
    <w:p w14:paraId="71866875" w14:textId="754B9F53" w:rsidR="00A166FF" w:rsidRDefault="00A166FF" w:rsidP="00A166FF">
      <w:pPr>
        <w:ind w:firstLine="709"/>
        <w:rPr>
          <w:rFonts w:cs="Times New Roman"/>
          <w:lang w:eastAsia="es-ES"/>
        </w:rPr>
      </w:pPr>
      <w:r>
        <w:rPr>
          <w:rFonts w:cs="Times New Roman"/>
          <w:lang w:eastAsia="es-ES"/>
        </w:rPr>
        <w:t xml:space="preserve">Es cierto que </w:t>
      </w:r>
      <w:r w:rsidR="000850FC" w:rsidRPr="00071C2A">
        <w:rPr>
          <w:rFonts w:cs="Times New Roman"/>
          <w:lang w:eastAsia="es-ES"/>
        </w:rPr>
        <w:t xml:space="preserve">a este </w:t>
      </w:r>
      <w:r>
        <w:rPr>
          <w:rFonts w:cs="Times New Roman"/>
          <w:lang w:eastAsia="es-ES"/>
        </w:rPr>
        <w:t xml:space="preserve">tema se han dedicado </w:t>
      </w:r>
      <w:r w:rsidR="000850FC" w:rsidRPr="00071C2A">
        <w:rPr>
          <w:rFonts w:cs="Times New Roman"/>
          <w:lang w:eastAsia="es-ES"/>
        </w:rPr>
        <w:t>investigadores como</w:t>
      </w:r>
      <w:r w:rsidR="000850FC">
        <w:rPr>
          <w:rFonts w:cs="Times New Roman"/>
          <w:lang w:eastAsia="es-ES"/>
        </w:rPr>
        <w:t xml:space="preserve"> Kaendler</w:t>
      </w:r>
      <w:r w:rsidR="007A1D68">
        <w:rPr>
          <w:rFonts w:cs="Times New Roman"/>
          <w:lang w:eastAsia="es-ES"/>
        </w:rPr>
        <w:t>,</w:t>
      </w:r>
      <w:r w:rsidR="007A1D68" w:rsidRPr="00713F80">
        <w:rPr>
          <w:rFonts w:cs="Times New Roman"/>
          <w:lang w:val="es-VE"/>
        </w:rPr>
        <w:t xml:space="preserve"> Wiedmann, Rummel y Spada</w:t>
      </w:r>
      <w:r w:rsidR="000850FC" w:rsidRPr="00071C2A">
        <w:rPr>
          <w:rFonts w:cs="Times New Roman"/>
          <w:lang w:eastAsia="es-ES"/>
        </w:rPr>
        <w:t xml:space="preserve"> </w:t>
      </w:r>
      <w:r w:rsidR="000850FC">
        <w:fldChar w:fldCharType="begin"/>
      </w:r>
      <w:r w:rsidR="000850FC">
        <w:instrText xml:space="preserve"> ADDIN ZOTERO_ITEM CSL_CITATION {"citationID":"jUzikypn","properties":{"formattedCitation":"(2015)","plainCitation":"(2015)","noteIndex":0},"citationItems":[{"id":40,"uris":["http://zotero.org/users/local/tvKJQPKe/items/6AB3XU3Q"],"uri":["http://zotero.org/users/local/tvKJQPKe/items/6AB3XU3Q"],"itemData":{"id":40,"type":"article-journal","container-title":"Educational Psychology Review","DOI":"https://doi.org/10.1007/s10648-014-9288-9","page":"505–536","title":"Teacher competencies for the implementation of collaborative learning in the classroom: A framework and research review","URL":"https://doi.org/10.1007/s10648-014-9288-9","volume":"27(3)","author":[{"family":"Kaendler","given":"Celia"},{"family":"Wiedmann","given":"Michael"},{"family":"Rummel","given":"Nikol"},{"family":"Spada","given":"Hans"}],"accessed":{"date-parts":[["2020",4,4]]},"issued":{"date-parts":[["2015"]]}},"suppress-author":true}],"schema":"https://github.com/citation-style-language/schema/raw/master/csl-citation.json"} </w:instrText>
      </w:r>
      <w:r w:rsidR="000850FC">
        <w:fldChar w:fldCharType="separate"/>
      </w:r>
      <w:r w:rsidR="000850FC">
        <w:rPr>
          <w:rFonts w:cs="Times New Roman"/>
          <w:lang w:val="es-ES_tradnl"/>
        </w:rPr>
        <w:t>(2015)</w:t>
      </w:r>
      <w:r w:rsidR="000850FC">
        <w:fldChar w:fldCharType="end"/>
      </w:r>
      <w:r w:rsidR="000850FC">
        <w:t xml:space="preserve">, Huda </w:t>
      </w:r>
      <w:r w:rsidRPr="00A166FF">
        <w:rPr>
          <w:rFonts w:cs="Times New Roman"/>
          <w:i/>
          <w:lang w:eastAsia="es-ES"/>
        </w:rPr>
        <w:t>et al</w:t>
      </w:r>
      <w:r>
        <w:rPr>
          <w:rFonts w:cs="Times New Roman"/>
          <w:lang w:eastAsia="es-ES"/>
        </w:rPr>
        <w:t>.</w:t>
      </w:r>
      <w:r w:rsidR="000850FC">
        <w:t xml:space="preserve"> </w:t>
      </w:r>
      <w:r w:rsidR="000850FC">
        <w:fldChar w:fldCharType="begin"/>
      </w:r>
      <w:r w:rsidR="000850FC">
        <w:instrText xml:space="preserve"> ADDIN ZOTERO_ITEM CSL_CITATION {"citationID":"K0rsytY8","properties":{"formattedCitation":"(2017)","plainCitation":"(2017)","noteIndex":0},"citationItems":[{"id":39,"uris":["http://zotero.org/users/local/tvKJQPKe/items/MB7WKXU7"],"uri":["http://zotero.org/users/local/tvKJQPKe/items/MB7WKXU7"],"itemData":{"id":39,"type":"article-journal","container-title":"International Journal of Emerging Technologies in Learning (iJET)","page":"68–83","title":"Exploring adaptive teaching competencies in big data era","volume":"12(3)","author":[{"family":"Huda","given":"Miftachul"},{"family":"Maseleno","given":"Andino"},{"family":"Shahrill","given":"Masitah"},{"family":"Jasmi","given":"Kamarul Azmi"},{"family":"Mustari","given":"Ismail"},{"family":"Basiron","given":"Bushrah"}],"accessed":{"date-parts":[["2020",4,1]]},"issued":{"date-parts":[["2017"]]}},"suppress-author":true}],"schema":"https://github.com/citation-style-language/schema/raw/master/csl-citation.json"} </w:instrText>
      </w:r>
      <w:r w:rsidR="000850FC">
        <w:fldChar w:fldCharType="separate"/>
      </w:r>
      <w:r w:rsidR="000850FC">
        <w:rPr>
          <w:rFonts w:cs="Times New Roman"/>
          <w:lang w:val="es-ES_tradnl"/>
        </w:rPr>
        <w:t>(2017)</w:t>
      </w:r>
      <w:r w:rsidR="000850FC">
        <w:fldChar w:fldCharType="end"/>
      </w:r>
      <w:r w:rsidR="000850FC">
        <w:t xml:space="preserve">, </w:t>
      </w:r>
      <w:r w:rsidR="000850FC" w:rsidRPr="005D33DA">
        <w:t>Gómez</w:t>
      </w:r>
      <w:r w:rsidR="000850FC">
        <w:t xml:space="preserve"> </w:t>
      </w:r>
      <w:r w:rsidR="000850FC">
        <w:fldChar w:fldCharType="begin"/>
      </w:r>
      <w:r w:rsidR="000850FC">
        <w:instrText xml:space="preserve"> ADDIN ZOTERO_ITEM CSL_CITATION {"citationID":"qT6lCb3D","properties":{"formattedCitation":"(2005)","plainCitation":"(2005)","noteIndex":0},"citationItems":[{"id":50,"uris":["http://zotero.org/users/local/tvKJQPKe/items/FXJ6CHH9"],"uri":["http://zotero.org/users/local/tvKJQPKe/items/FXJ6CHH9"],"itemData":{"id":50,"type":"book","event-place":"Lincoln, Nebraska, USA","publisher":"The University of Nebraska-Lincoln","publisher-place":"Lincoln, Nebraska, USA","title":"Seven principles of good teaching practice: Predictors of perceived learning and satisfaction with online courses","author":[{"family":"Gómez Álvarez","given":"Lilian del Carmen"}],"accessed":{"date-parts":[["2020",4,3]]},"issued":{"date-parts":[["2005"]]}},"suppress-author":true}],"schema":"https://github.com/citation-style-language/schema/raw/master/csl-citation.json"} </w:instrText>
      </w:r>
      <w:r w:rsidR="000850FC">
        <w:fldChar w:fldCharType="separate"/>
      </w:r>
      <w:r w:rsidR="000850FC">
        <w:rPr>
          <w:noProof/>
        </w:rPr>
        <w:t>(2005)</w:t>
      </w:r>
      <w:r w:rsidR="000850FC">
        <w:fldChar w:fldCharType="end"/>
      </w:r>
      <w:r w:rsidR="000850FC">
        <w:t xml:space="preserve">, </w:t>
      </w:r>
      <w:r w:rsidR="000850FC" w:rsidRPr="005D33DA">
        <w:t>DiPietro, Ferdig, Black y Presto</w:t>
      </w:r>
      <w:r w:rsidR="000850FC">
        <w:t xml:space="preserve"> </w:t>
      </w:r>
      <w:r w:rsidR="000850FC">
        <w:fldChar w:fldCharType="begin"/>
      </w:r>
      <w:r w:rsidR="000850FC">
        <w:instrText xml:space="preserve"> ADDIN ZOTERO_ITEM CSL_CITATION {"citationID":"gWBYmyAZ","properties":{"formattedCitation":"(2010)","plainCitation":"(2010)","noteIndex":0},"citationItems":[{"id":51,"uris":["http://zotero.org/users/local/tvKJQPKe/items/BJADRTUU"],"uri":["http://zotero.org/users/local/tvKJQPKe/items/BJADRTUU"],"itemData":{"id":51,"type":"article-journal","abstract":"Virtual schools are rising in popularity and presence. Unfortunately, there is a relative dearth of research related to teaching and learning in virtual schools. Although there are numerous handbooks addressing teaching online, there is little research on successful online teaching in the K-12 arena. Much of the existing research focused on teaching online is rooted in face-to-face content, not focused on content areas, built upon a post-secondary audience, or fails to use data from the teachers themselves to triangulate findings. This article reports on a study of 16 virtual school teachers from the Michigan Virtual School (MVS). It reports on best-practices from the interviews conducted with MVS teachers; and also provides research triangulation for those practices. The paper concludes with implications for policy, research, and practice. (Contains 1 table and 1 figure.)","container-title":"Journal of Interactive Online Learning","language":"en","page":"10-35","source":"oaks.kent.edu","title":"Best Practices in Teaching K-12 Online: Lessons Learned from Michigan Virtual School Teachers","title-short":"Best Practices in Teaching K-12 Online","URL":"https://oaks.kent.edu/ldespubs/20","volume":"9(3)","author":[{"family":"DiPietro","given":"Meredith"},{"family":"Ferdig","given":"Richard E."},{"family":"Black","given":"Erik W."},{"family":"Presto","given":"Megan"}],"accessed":{"date-parts":[["2020",4,6]]},"issued":{"date-parts":[["2010"]]}},"suppress-author":true}],"schema":"https://github.com/citation-style-language/schema/raw/master/csl-citation.json"} </w:instrText>
      </w:r>
      <w:r w:rsidR="000850FC">
        <w:fldChar w:fldCharType="separate"/>
      </w:r>
      <w:r w:rsidR="000850FC">
        <w:rPr>
          <w:noProof/>
        </w:rPr>
        <w:t>(2010)</w:t>
      </w:r>
      <w:r w:rsidR="000850FC">
        <w:fldChar w:fldCharType="end"/>
      </w:r>
      <w:r>
        <w:t>,</w:t>
      </w:r>
      <w:r w:rsidR="000850FC">
        <w:t xml:space="preserve"> </w:t>
      </w:r>
      <w:r w:rsidR="000850FC" w:rsidRPr="005D33DA">
        <w:t>Ryan, Hodson-Carlton y Ali</w:t>
      </w:r>
      <w:r w:rsidR="000850FC">
        <w:t xml:space="preserve"> </w:t>
      </w:r>
      <w:r w:rsidR="000850FC">
        <w:fldChar w:fldCharType="begin"/>
      </w:r>
      <w:r w:rsidR="000850FC">
        <w:instrText xml:space="preserve"> ADDIN ZOTERO_ITEM CSL_CITATION {"citationID":"Q4GEfkiU","properties":{"formattedCitation":"(2005)","plainCitation":"(2005)","noteIndex":0},"citationItems":[{"id":54,"uris":["http://zotero.org/users/local/tvKJQPKe/items/BLVWC9BV"],"uri":["http://zotero.org/users/local/tvKJQPKe/items/BLVWC9BV"],"itemData":{"id":54,"type":"article-journal","container-title":"Journal of Nursing Education","DOI":"10.3928/01484834-20050801-06","ISSN":"0148-4834","language":"en","page":"357-365","source":"Crossref","title":"A Model for Faculty Teaching Online: Confirmation of a Dimensional Matrix","title-short":"A Model for Faculty Teaching Online","URL":"https://www.healio.com/doiresolver?doi=10.3928/01484834-20050801-06","volume":"44(8)","author":[{"family":"Ryan","given":"Marilyn"},{"family":"Hodson-Carlton","given":"Kay"},{"family":"Ali","given":"Nagia S."}],"accessed":{"date-parts":[["2020",4,6]]},"issued":{"date-parts":[["2005",8,1]]}},"suppress-author":true}],"schema":"https://github.com/citation-style-language/schema/raw/master/csl-citation.json"} </w:instrText>
      </w:r>
      <w:r w:rsidR="000850FC">
        <w:fldChar w:fldCharType="separate"/>
      </w:r>
      <w:r w:rsidR="000850FC">
        <w:rPr>
          <w:noProof/>
        </w:rPr>
        <w:t>(2005)</w:t>
      </w:r>
      <w:r w:rsidR="000850FC">
        <w:fldChar w:fldCharType="end"/>
      </w:r>
      <w:r>
        <w:t xml:space="preserve"> y </w:t>
      </w:r>
      <w:r w:rsidRPr="00205EFD">
        <w:rPr>
          <w:rFonts w:cs="Times New Roman"/>
          <w:lang w:val="es-ES_tradnl"/>
        </w:rPr>
        <w:t xml:space="preserve">Valencia-Molina </w:t>
      </w:r>
      <w:r w:rsidRPr="00A166FF">
        <w:rPr>
          <w:rFonts w:cs="Times New Roman"/>
          <w:i/>
          <w:lang w:val="es-ES_tradnl"/>
        </w:rPr>
        <w:t>et al</w:t>
      </w:r>
      <w:r w:rsidRPr="00205EFD">
        <w:rPr>
          <w:rFonts w:cs="Times New Roman"/>
          <w:lang w:val="es-ES_tradnl"/>
        </w:rPr>
        <w:t xml:space="preserve">. </w:t>
      </w:r>
      <w:r>
        <w:rPr>
          <w:rFonts w:cs="Times New Roman"/>
          <w:lang w:val="es-ES_tradnl"/>
        </w:rPr>
        <w:t>(</w:t>
      </w:r>
      <w:r w:rsidRPr="00205EFD">
        <w:rPr>
          <w:rFonts w:cs="Times New Roman"/>
          <w:lang w:val="es-ES_tradnl"/>
        </w:rPr>
        <w:t>2016</w:t>
      </w:r>
      <w:r>
        <w:rPr>
          <w:rFonts w:cs="Times New Roman"/>
          <w:lang w:val="es-ES_tradnl"/>
        </w:rPr>
        <w:t>)</w:t>
      </w:r>
      <w:r w:rsidR="000850FC">
        <w:rPr>
          <w:rFonts w:cs="Times New Roman"/>
          <w:lang w:eastAsia="es-ES"/>
        </w:rPr>
        <w:t>; s</w:t>
      </w:r>
      <w:r w:rsidR="000850FC" w:rsidRPr="00071C2A">
        <w:rPr>
          <w:rFonts w:cs="Times New Roman"/>
          <w:lang w:eastAsia="es-ES"/>
        </w:rPr>
        <w:t xml:space="preserve">in embargo, pocos estudios se </w:t>
      </w:r>
      <w:r>
        <w:rPr>
          <w:rFonts w:cs="Times New Roman"/>
          <w:lang w:eastAsia="es-ES"/>
        </w:rPr>
        <w:t>han enfocado</w:t>
      </w:r>
      <w:r w:rsidR="000850FC" w:rsidRPr="00071C2A">
        <w:rPr>
          <w:rFonts w:cs="Times New Roman"/>
          <w:lang w:eastAsia="es-ES"/>
        </w:rPr>
        <w:t xml:space="preserve"> en las competencias que el docente en línea debe tener para considerar su práctica exitosa en el contexto de universidades en México</w:t>
      </w:r>
      <w:r>
        <w:rPr>
          <w:rFonts w:cs="Times New Roman"/>
          <w:lang w:eastAsia="es-ES"/>
        </w:rPr>
        <w:t>, a</w:t>
      </w:r>
      <w:r w:rsidR="004A5134">
        <w:rPr>
          <w:rFonts w:cs="Times New Roman"/>
          <w:lang w:eastAsia="es-ES"/>
        </w:rPr>
        <w:t>u</w:t>
      </w:r>
      <w:r>
        <w:rPr>
          <w:rFonts w:cs="Times New Roman"/>
          <w:lang w:eastAsia="es-ES"/>
        </w:rPr>
        <w:t xml:space="preserve">n cuando </w:t>
      </w:r>
      <w:r w:rsidR="000850FC" w:rsidRPr="00071C2A">
        <w:rPr>
          <w:rFonts w:cs="Times New Roman"/>
          <w:lang w:eastAsia="es-ES"/>
        </w:rPr>
        <w:t xml:space="preserve">esta modalidad </w:t>
      </w:r>
      <w:r>
        <w:rPr>
          <w:rFonts w:cs="Times New Roman"/>
          <w:lang w:eastAsia="es-ES"/>
        </w:rPr>
        <w:t xml:space="preserve">ha crecido, por lo que demanda conocer los </w:t>
      </w:r>
      <w:r w:rsidR="000850FC" w:rsidRPr="00071C2A">
        <w:rPr>
          <w:rFonts w:cs="Times New Roman"/>
          <w:lang w:eastAsia="es-ES"/>
        </w:rPr>
        <w:t xml:space="preserve">elementos que </w:t>
      </w:r>
      <w:r>
        <w:rPr>
          <w:rFonts w:cs="Times New Roman"/>
          <w:lang w:eastAsia="es-ES"/>
        </w:rPr>
        <w:t>permitirían</w:t>
      </w:r>
      <w:r w:rsidR="000850FC" w:rsidRPr="00071C2A">
        <w:rPr>
          <w:rFonts w:cs="Times New Roman"/>
          <w:lang w:eastAsia="es-ES"/>
        </w:rPr>
        <w:t xml:space="preserve"> la formación y la evaluación de los docentes que desean ejercer en programas educativos en línea. </w:t>
      </w:r>
    </w:p>
    <w:p w14:paraId="4C62356F" w14:textId="77777777" w:rsidR="000850FC" w:rsidRPr="00873EF5" w:rsidRDefault="000850FC" w:rsidP="00A166FF">
      <w:pPr>
        <w:ind w:firstLine="709"/>
        <w:rPr>
          <w:rFonts w:cs="Times New Roman"/>
          <w:lang w:eastAsia="es-ES"/>
        </w:rPr>
      </w:pPr>
      <w:r w:rsidRPr="00071C2A">
        <w:rPr>
          <w:rFonts w:cs="Times New Roman"/>
          <w:lang w:eastAsia="es-ES"/>
        </w:rPr>
        <w:t xml:space="preserve">Por ello, el presente artículo se enfoca en presentar los hallazgos de una investigación conducida con la colaboración de seis instituciones de educación superior en el país que ofrecen programas de educación en línea </w:t>
      </w:r>
      <w:r w:rsidR="00A166FF">
        <w:rPr>
          <w:rFonts w:cs="Times New Roman"/>
          <w:lang w:eastAsia="es-ES"/>
        </w:rPr>
        <w:t xml:space="preserve">para intentar hallar </w:t>
      </w:r>
      <w:r w:rsidRPr="00071C2A">
        <w:rPr>
          <w:rFonts w:cs="Times New Roman"/>
          <w:lang w:eastAsia="es-ES"/>
        </w:rPr>
        <w:t xml:space="preserve">respuesta a las siguientes </w:t>
      </w:r>
      <w:r w:rsidR="00A166FF">
        <w:rPr>
          <w:rFonts w:cs="Times New Roman"/>
          <w:lang w:eastAsia="es-ES"/>
        </w:rPr>
        <w:t>interrogantes</w:t>
      </w:r>
      <w:r>
        <w:rPr>
          <w:rFonts w:cs="Times New Roman"/>
          <w:lang w:eastAsia="es-ES"/>
        </w:rPr>
        <w:t>:</w:t>
      </w:r>
    </w:p>
    <w:p w14:paraId="588ADBA8" w14:textId="77777777" w:rsidR="000850FC" w:rsidRDefault="000850FC" w:rsidP="000850FC">
      <w:pPr>
        <w:pStyle w:val="Prrafodelista"/>
        <w:numPr>
          <w:ilvl w:val="0"/>
          <w:numId w:val="5"/>
        </w:numPr>
        <w:ind w:left="284" w:hanging="284"/>
        <w:rPr>
          <w:lang w:eastAsia="es-ES"/>
        </w:rPr>
      </w:pPr>
      <w:r w:rsidRPr="008D3CB2">
        <w:rPr>
          <w:lang w:eastAsia="es-ES"/>
        </w:rPr>
        <w:t>¿</w:t>
      </w:r>
      <w:r w:rsidR="00A166FF" w:rsidRPr="008D3CB2">
        <w:rPr>
          <w:lang w:eastAsia="es-ES"/>
        </w:rPr>
        <w:t>Cómo</w:t>
      </w:r>
      <w:r w:rsidRPr="008D3CB2">
        <w:rPr>
          <w:lang w:eastAsia="es-ES"/>
        </w:rPr>
        <w:t xml:space="preserve"> perciben las competencias docentes los estudiantes de universidades </w:t>
      </w:r>
      <w:r w:rsidR="00A166FF" w:rsidRPr="008D3CB2">
        <w:rPr>
          <w:lang w:eastAsia="es-ES"/>
        </w:rPr>
        <w:t>públicas</w:t>
      </w:r>
      <w:r w:rsidRPr="008D3CB2">
        <w:rPr>
          <w:lang w:eastAsia="es-ES"/>
        </w:rPr>
        <w:t xml:space="preserve"> de </w:t>
      </w:r>
      <w:r w:rsidR="00A166FF" w:rsidRPr="008D3CB2">
        <w:rPr>
          <w:lang w:eastAsia="es-ES"/>
        </w:rPr>
        <w:t>México</w:t>
      </w:r>
      <w:r w:rsidRPr="008D3CB2">
        <w:rPr>
          <w:lang w:eastAsia="es-ES"/>
        </w:rPr>
        <w:t xml:space="preserve"> en contraste con </w:t>
      </w:r>
      <w:r>
        <w:rPr>
          <w:lang w:eastAsia="es-ES"/>
        </w:rPr>
        <w:t>un</w:t>
      </w:r>
      <w:r w:rsidRPr="008D3CB2">
        <w:rPr>
          <w:lang w:eastAsia="es-ES"/>
        </w:rPr>
        <w:t xml:space="preserve"> </w:t>
      </w:r>
      <w:r>
        <w:rPr>
          <w:lang w:eastAsia="es-ES"/>
        </w:rPr>
        <w:t>m</w:t>
      </w:r>
      <w:r w:rsidRPr="008D3CB2">
        <w:rPr>
          <w:lang w:eastAsia="es-ES"/>
        </w:rPr>
        <w:t xml:space="preserve">odelo </w:t>
      </w:r>
      <w:r w:rsidR="00A166FF">
        <w:rPr>
          <w:lang w:eastAsia="es-ES"/>
        </w:rPr>
        <w:t>t</w:t>
      </w:r>
      <w:r w:rsidR="00A166FF" w:rsidRPr="008D3CB2">
        <w:rPr>
          <w:lang w:eastAsia="es-ES"/>
        </w:rPr>
        <w:t>eórico</w:t>
      </w:r>
      <w:r w:rsidRPr="008D3CB2">
        <w:rPr>
          <w:lang w:eastAsia="es-ES"/>
        </w:rPr>
        <w:t xml:space="preserve"> para la docencia en </w:t>
      </w:r>
      <w:r w:rsidR="00A166FF" w:rsidRPr="008D3CB2">
        <w:rPr>
          <w:lang w:eastAsia="es-ES"/>
        </w:rPr>
        <w:t>línea</w:t>
      </w:r>
      <w:r>
        <w:rPr>
          <w:lang w:eastAsia="es-ES"/>
        </w:rPr>
        <w:t xml:space="preserve"> integrado por aspectos pedagógicos, tecnológicos, sociales, administrativos y evaluativos</w:t>
      </w:r>
      <w:r w:rsidRPr="008D3CB2">
        <w:rPr>
          <w:lang w:eastAsia="es-ES"/>
        </w:rPr>
        <w:t xml:space="preserve">? </w:t>
      </w:r>
    </w:p>
    <w:p w14:paraId="6219975E" w14:textId="712C183A" w:rsidR="000850FC" w:rsidRPr="008D3CB2" w:rsidRDefault="000850FC" w:rsidP="000850FC">
      <w:pPr>
        <w:pStyle w:val="Prrafodelista"/>
        <w:numPr>
          <w:ilvl w:val="0"/>
          <w:numId w:val="5"/>
        </w:numPr>
        <w:ind w:left="284" w:hanging="284"/>
        <w:rPr>
          <w:lang w:eastAsia="es-ES"/>
        </w:rPr>
      </w:pPr>
      <w:r w:rsidRPr="008D3CB2">
        <w:rPr>
          <w:lang w:eastAsia="es-ES"/>
        </w:rPr>
        <w:t>¿</w:t>
      </w:r>
      <w:r>
        <w:rPr>
          <w:lang w:eastAsia="es-ES"/>
        </w:rPr>
        <w:t>Aspectos como el grado académico que se esté estudiando o la experiencia previa que el estudiante tenga a su vez como facilitador afecta</w:t>
      </w:r>
      <w:r w:rsidR="004A5134">
        <w:rPr>
          <w:lang w:eastAsia="es-ES"/>
        </w:rPr>
        <w:t>n</w:t>
      </w:r>
      <w:r>
        <w:rPr>
          <w:lang w:eastAsia="es-ES"/>
        </w:rPr>
        <w:t xml:space="preserve"> su percepción sobre la competencia de sus docenes en línea?</w:t>
      </w:r>
      <w:r w:rsidRPr="008D3CB2">
        <w:rPr>
          <w:lang w:eastAsia="es-ES"/>
        </w:rPr>
        <w:t xml:space="preserve"> </w:t>
      </w:r>
    </w:p>
    <w:p w14:paraId="0AD0DB1A" w14:textId="77777777" w:rsidR="000850FC" w:rsidRDefault="000850FC" w:rsidP="000850FC">
      <w:pPr>
        <w:ind w:left="284" w:hanging="284"/>
        <w:rPr>
          <w:lang w:eastAsia="es-ES"/>
        </w:rPr>
      </w:pPr>
      <w:r w:rsidRPr="008D3CB2">
        <w:rPr>
          <w:lang w:eastAsia="es-ES"/>
        </w:rPr>
        <w:t xml:space="preserve">3. </w:t>
      </w:r>
      <w:r>
        <w:rPr>
          <w:lang w:eastAsia="es-ES"/>
        </w:rPr>
        <w:t>¿La percepción de los estudiantes sobre las competencias de sus docentes en línea varían dependiendo de la institución donde estudien?</w:t>
      </w:r>
    </w:p>
    <w:p w14:paraId="097221C8" w14:textId="77777777" w:rsidR="000850FC" w:rsidRPr="008D3CB2" w:rsidRDefault="000850FC" w:rsidP="000850FC">
      <w:pPr>
        <w:ind w:left="284" w:hanging="284"/>
        <w:rPr>
          <w:lang w:eastAsia="es-ES"/>
        </w:rPr>
      </w:pPr>
      <w:r w:rsidRPr="008D3CB2">
        <w:rPr>
          <w:lang w:eastAsia="es-ES"/>
        </w:rPr>
        <w:t xml:space="preserve">4. ¿Qué apoyos y demandas se plantean desde la </w:t>
      </w:r>
      <w:r w:rsidR="00D61A55" w:rsidRPr="008D3CB2">
        <w:rPr>
          <w:lang w:eastAsia="es-ES"/>
        </w:rPr>
        <w:t>gestión</w:t>
      </w:r>
      <w:r w:rsidRPr="008D3CB2">
        <w:rPr>
          <w:lang w:eastAsia="es-ES"/>
        </w:rPr>
        <w:t xml:space="preserve"> de universidades </w:t>
      </w:r>
      <w:r w:rsidR="00D61A55" w:rsidRPr="008D3CB2">
        <w:rPr>
          <w:lang w:eastAsia="es-ES"/>
        </w:rPr>
        <w:t>públicas</w:t>
      </w:r>
      <w:r w:rsidRPr="008D3CB2">
        <w:rPr>
          <w:lang w:eastAsia="es-ES"/>
        </w:rPr>
        <w:t xml:space="preserve"> de </w:t>
      </w:r>
      <w:r w:rsidR="00D61A55" w:rsidRPr="008D3CB2">
        <w:rPr>
          <w:lang w:eastAsia="es-ES"/>
        </w:rPr>
        <w:t>México</w:t>
      </w:r>
      <w:r w:rsidRPr="008D3CB2">
        <w:rPr>
          <w:lang w:eastAsia="es-ES"/>
        </w:rPr>
        <w:t xml:space="preserve"> a los docentes en </w:t>
      </w:r>
      <w:r w:rsidR="00D61A55" w:rsidRPr="008D3CB2">
        <w:rPr>
          <w:lang w:eastAsia="es-ES"/>
        </w:rPr>
        <w:t>línea</w:t>
      </w:r>
      <w:r w:rsidRPr="008D3CB2">
        <w:rPr>
          <w:lang w:eastAsia="es-ES"/>
        </w:rPr>
        <w:t xml:space="preserve">, en contraste con el modelo </w:t>
      </w:r>
      <w:r w:rsidR="00D61A55" w:rsidRPr="008D3CB2">
        <w:rPr>
          <w:lang w:eastAsia="es-ES"/>
        </w:rPr>
        <w:t>teórico</w:t>
      </w:r>
      <w:r w:rsidRPr="008D3CB2">
        <w:rPr>
          <w:lang w:eastAsia="es-ES"/>
        </w:rPr>
        <w:t xml:space="preserve"> de competencias </w:t>
      </w:r>
      <w:r w:rsidR="00D61A55" w:rsidRPr="008D3CB2">
        <w:rPr>
          <w:lang w:eastAsia="es-ES"/>
        </w:rPr>
        <w:t>específicas</w:t>
      </w:r>
      <w:r w:rsidRPr="008D3CB2">
        <w:rPr>
          <w:lang w:eastAsia="es-ES"/>
        </w:rPr>
        <w:t xml:space="preserve"> para la docencia en </w:t>
      </w:r>
      <w:r w:rsidR="00D61A55" w:rsidRPr="008D3CB2">
        <w:rPr>
          <w:lang w:eastAsia="es-ES"/>
        </w:rPr>
        <w:t>línea</w:t>
      </w:r>
      <w:r w:rsidRPr="008D3CB2">
        <w:rPr>
          <w:lang w:eastAsia="es-ES"/>
        </w:rPr>
        <w:t xml:space="preserve">? </w:t>
      </w:r>
    </w:p>
    <w:p w14:paraId="1A753624" w14:textId="77777777" w:rsidR="000850FC" w:rsidRDefault="00D61A55" w:rsidP="000850FC">
      <w:pPr>
        <w:ind w:firstLine="708"/>
        <w:rPr>
          <w:rFonts w:cs="Times New Roman"/>
          <w:lang w:eastAsia="es-ES"/>
        </w:rPr>
      </w:pPr>
      <w:r>
        <w:rPr>
          <w:rFonts w:cs="Times New Roman"/>
          <w:lang w:eastAsia="es-ES"/>
        </w:rPr>
        <w:t xml:space="preserve">A partir de </w:t>
      </w:r>
      <w:r w:rsidR="000850FC">
        <w:rPr>
          <w:rFonts w:cs="Times New Roman"/>
          <w:lang w:eastAsia="es-ES"/>
        </w:rPr>
        <w:t>estas preguntas</w:t>
      </w:r>
      <w:r>
        <w:rPr>
          <w:rFonts w:cs="Times New Roman"/>
          <w:lang w:eastAsia="es-ES"/>
        </w:rPr>
        <w:t>,</w:t>
      </w:r>
      <w:r w:rsidR="000850FC">
        <w:rPr>
          <w:rFonts w:cs="Times New Roman"/>
          <w:lang w:eastAsia="es-ES"/>
        </w:rPr>
        <w:t xml:space="preserve"> se </w:t>
      </w:r>
      <w:r>
        <w:rPr>
          <w:rFonts w:cs="Times New Roman"/>
          <w:lang w:eastAsia="es-ES"/>
        </w:rPr>
        <w:t>plantearon</w:t>
      </w:r>
      <w:r w:rsidR="000850FC">
        <w:rPr>
          <w:rFonts w:cs="Times New Roman"/>
          <w:lang w:eastAsia="es-ES"/>
        </w:rPr>
        <w:t xml:space="preserve"> las siguientes hipótesis:</w:t>
      </w:r>
    </w:p>
    <w:p w14:paraId="3894BDFC" w14:textId="77777777" w:rsidR="000850FC" w:rsidRPr="00071C2A" w:rsidRDefault="000850FC" w:rsidP="000850FC">
      <w:pPr>
        <w:rPr>
          <w:rFonts w:cs="Times New Roman"/>
          <w:lang w:eastAsia="es-ES"/>
        </w:rPr>
      </w:pPr>
      <w:r w:rsidRPr="00071C2A">
        <w:rPr>
          <w:rFonts w:cs="Times New Roman"/>
          <w:lang w:eastAsia="es-ES"/>
        </w:rPr>
        <w:t xml:space="preserve">H1: El modelo de competencias específicas para la docencia en línea en universidades públicas de México debe considerar el desarrollo de competencias pedagógicas, sociales, administrativas, tecnológicas y evaluativas. </w:t>
      </w:r>
    </w:p>
    <w:p w14:paraId="3CAB71D5" w14:textId="77777777" w:rsidR="000850FC" w:rsidRDefault="000850FC" w:rsidP="000850FC">
      <w:r>
        <w:t>H2: Existe alta similitud de las percepciones de los estudiantes de las instituciones de estudio sobre los elementos que integran las competencias específicas para la docencia en línea, por lo que se puede hablar de un perfil de competencias específicas homogéneo del docente en línea en universidades públicas de México.</w:t>
      </w:r>
    </w:p>
    <w:p w14:paraId="2035A755" w14:textId="77777777" w:rsidR="000850FC" w:rsidRDefault="000850FC" w:rsidP="000850FC">
      <w:pPr>
        <w:rPr>
          <w:rFonts w:cs="Times New Roman"/>
          <w:lang w:eastAsia="es-ES"/>
        </w:rPr>
      </w:pPr>
      <w:r w:rsidRPr="00071C2A">
        <w:rPr>
          <w:rFonts w:cs="Times New Roman"/>
          <w:lang w:eastAsia="es-ES"/>
        </w:rPr>
        <w:lastRenderedPageBreak/>
        <w:t>H3: El grado académico de licenciatura o posgrado que curs</w:t>
      </w:r>
      <w:r w:rsidR="00D61A55">
        <w:rPr>
          <w:rFonts w:cs="Times New Roman"/>
          <w:lang w:eastAsia="es-ES"/>
        </w:rPr>
        <w:t>a</w:t>
      </w:r>
      <w:r w:rsidRPr="00071C2A">
        <w:rPr>
          <w:rFonts w:cs="Times New Roman"/>
          <w:lang w:eastAsia="es-ES"/>
        </w:rPr>
        <w:t xml:space="preserve">n los estudiantes encuestados influye en la percepción que tienen sobre el nivel de competencias que el docente en línea evidencia en su práctica. </w:t>
      </w:r>
    </w:p>
    <w:p w14:paraId="3D17D90E" w14:textId="77777777" w:rsidR="000850FC" w:rsidRDefault="000850FC" w:rsidP="000850FC">
      <w:r>
        <w:rPr>
          <w:rFonts w:cs="Times New Roman"/>
          <w:lang w:eastAsia="es-ES"/>
        </w:rPr>
        <w:t>H4</w:t>
      </w:r>
      <w:r>
        <w:t xml:space="preserve">: La experiencia que los estudiantes tengan como facilitadores influye en su percepción de las competencias que evidencian sus facilitadores, considerando un nivel más alto cuando tienen experiencia como facilitadores y más baja cuando no la tienen. </w:t>
      </w:r>
    </w:p>
    <w:p w14:paraId="1ED23F4B" w14:textId="77777777" w:rsidR="000850FC" w:rsidRPr="00071C2A" w:rsidRDefault="000850FC" w:rsidP="00D61A55">
      <w:pPr>
        <w:ind w:firstLine="708"/>
        <w:rPr>
          <w:rFonts w:cs="Times New Roman"/>
          <w:lang w:eastAsia="es-ES"/>
        </w:rPr>
      </w:pPr>
      <w:r w:rsidRPr="00071C2A">
        <w:rPr>
          <w:rFonts w:cs="Times New Roman"/>
          <w:lang w:eastAsia="es-ES"/>
        </w:rPr>
        <w:t>La investigación estuvo guiada por los siguientes objetivos:</w:t>
      </w:r>
    </w:p>
    <w:p w14:paraId="311F0BE3" w14:textId="77777777" w:rsidR="00CF71FB" w:rsidRDefault="00CF71FB" w:rsidP="000850FC">
      <w:pPr>
        <w:rPr>
          <w:rFonts w:cs="Times New Roman"/>
          <w:b/>
          <w:lang w:eastAsia="es-ES"/>
        </w:rPr>
      </w:pPr>
    </w:p>
    <w:p w14:paraId="02D2E0C3" w14:textId="3DD86171" w:rsidR="000850FC" w:rsidRPr="00CF71FB" w:rsidRDefault="00D61A55" w:rsidP="00CF71FB">
      <w:pPr>
        <w:jc w:val="center"/>
        <w:rPr>
          <w:rFonts w:cs="Times New Roman"/>
          <w:b/>
          <w:sz w:val="26"/>
          <w:szCs w:val="26"/>
          <w:lang w:eastAsia="es-ES"/>
        </w:rPr>
      </w:pPr>
      <w:r w:rsidRPr="00CF71FB">
        <w:rPr>
          <w:rFonts w:cs="Times New Roman"/>
          <w:b/>
          <w:sz w:val="26"/>
          <w:szCs w:val="26"/>
          <w:lang w:eastAsia="es-ES"/>
        </w:rPr>
        <w:t>Objetivo g</w:t>
      </w:r>
      <w:r w:rsidR="000850FC" w:rsidRPr="00CF71FB">
        <w:rPr>
          <w:rFonts w:cs="Times New Roman"/>
          <w:b/>
          <w:sz w:val="26"/>
          <w:szCs w:val="26"/>
          <w:lang w:eastAsia="es-ES"/>
        </w:rPr>
        <w:t>eneral</w:t>
      </w:r>
    </w:p>
    <w:p w14:paraId="6F055B60" w14:textId="77777777" w:rsidR="000850FC" w:rsidRDefault="000850FC" w:rsidP="000850FC">
      <w:pPr>
        <w:numPr>
          <w:ilvl w:val="0"/>
          <w:numId w:val="1"/>
        </w:numPr>
        <w:tabs>
          <w:tab w:val="left" w:pos="993"/>
        </w:tabs>
        <w:ind w:left="993" w:hanging="284"/>
        <w:rPr>
          <w:rFonts w:cs="Times New Roman"/>
          <w:lang w:eastAsia="es-ES"/>
        </w:rPr>
      </w:pPr>
      <w:r>
        <w:rPr>
          <w:rFonts w:cs="Times New Roman"/>
          <w:lang w:eastAsia="es-ES"/>
        </w:rPr>
        <w:t>Determinar</w:t>
      </w:r>
      <w:r w:rsidRPr="00071C2A">
        <w:rPr>
          <w:rFonts w:cs="Times New Roman"/>
          <w:lang w:eastAsia="es-ES"/>
        </w:rPr>
        <w:t xml:space="preserve"> las competencias específicas para la docencia en línea en </w:t>
      </w:r>
      <w:r>
        <w:rPr>
          <w:rFonts w:cs="Times New Roman"/>
          <w:lang w:eastAsia="es-ES"/>
        </w:rPr>
        <w:t xml:space="preserve">seis </w:t>
      </w:r>
      <w:r w:rsidRPr="00071C2A">
        <w:rPr>
          <w:rFonts w:cs="Times New Roman"/>
          <w:lang w:eastAsia="es-ES"/>
        </w:rPr>
        <w:t>universidades públicas de México y los elementos que las integran a través del análisis de las percepciones que sus estudiantes tienen sobre la práctica docente en programas de diplomado, licenciatura y postgrado en línea</w:t>
      </w:r>
      <w:r>
        <w:rPr>
          <w:rFonts w:cs="Times New Roman"/>
          <w:lang w:eastAsia="es-ES"/>
        </w:rPr>
        <w:t>.</w:t>
      </w:r>
    </w:p>
    <w:p w14:paraId="3B8F571B" w14:textId="77777777" w:rsidR="00D61A55" w:rsidRDefault="00D61A55" w:rsidP="000850FC">
      <w:pPr>
        <w:tabs>
          <w:tab w:val="left" w:pos="993"/>
        </w:tabs>
        <w:rPr>
          <w:rFonts w:cs="Times New Roman"/>
          <w:b/>
          <w:lang w:eastAsia="es-ES"/>
        </w:rPr>
      </w:pPr>
    </w:p>
    <w:p w14:paraId="050D8080" w14:textId="77777777" w:rsidR="000850FC" w:rsidRPr="00CF71FB" w:rsidRDefault="00D61A55" w:rsidP="00CF71FB">
      <w:pPr>
        <w:jc w:val="center"/>
        <w:rPr>
          <w:rFonts w:cs="Times New Roman"/>
          <w:b/>
          <w:sz w:val="26"/>
          <w:szCs w:val="26"/>
          <w:lang w:eastAsia="es-ES"/>
        </w:rPr>
      </w:pPr>
      <w:r w:rsidRPr="00CF71FB">
        <w:rPr>
          <w:rFonts w:cs="Times New Roman"/>
          <w:b/>
          <w:sz w:val="26"/>
          <w:szCs w:val="26"/>
          <w:lang w:eastAsia="es-ES"/>
        </w:rPr>
        <w:t>Objetivos e</w:t>
      </w:r>
      <w:r w:rsidR="000850FC" w:rsidRPr="00CF71FB">
        <w:rPr>
          <w:rFonts w:cs="Times New Roman"/>
          <w:b/>
          <w:sz w:val="26"/>
          <w:szCs w:val="26"/>
          <w:lang w:eastAsia="es-ES"/>
        </w:rPr>
        <w:t>specíficos</w:t>
      </w:r>
    </w:p>
    <w:p w14:paraId="7207723C" w14:textId="77777777" w:rsidR="000850FC" w:rsidRPr="00071C2A" w:rsidRDefault="000850FC" w:rsidP="000850FC">
      <w:pPr>
        <w:numPr>
          <w:ilvl w:val="0"/>
          <w:numId w:val="1"/>
        </w:numPr>
        <w:tabs>
          <w:tab w:val="left" w:pos="993"/>
        </w:tabs>
        <w:ind w:left="993" w:hanging="284"/>
        <w:rPr>
          <w:rFonts w:cs="Times New Roman"/>
          <w:lang w:eastAsia="es-ES"/>
        </w:rPr>
      </w:pPr>
      <w:r>
        <w:rPr>
          <w:rFonts w:cs="Times New Roman"/>
          <w:lang w:eastAsia="es-ES"/>
        </w:rPr>
        <w:t xml:space="preserve">Ponderar la influencia de variables como </w:t>
      </w:r>
      <w:r w:rsidRPr="00D61A55">
        <w:rPr>
          <w:rFonts w:cs="Times New Roman"/>
          <w:i/>
          <w:lang w:eastAsia="es-ES"/>
        </w:rPr>
        <w:t>institución de procedencia</w:t>
      </w:r>
      <w:r>
        <w:rPr>
          <w:rFonts w:cs="Times New Roman"/>
          <w:lang w:eastAsia="es-ES"/>
        </w:rPr>
        <w:t xml:space="preserve">, </w:t>
      </w:r>
      <w:r w:rsidRPr="00D61A55">
        <w:rPr>
          <w:rFonts w:cs="Times New Roman"/>
          <w:i/>
          <w:lang w:eastAsia="es-ES"/>
        </w:rPr>
        <w:t>experiencia previa como facilitadores</w:t>
      </w:r>
      <w:r>
        <w:rPr>
          <w:rFonts w:cs="Times New Roman"/>
          <w:lang w:eastAsia="es-ES"/>
        </w:rPr>
        <w:t xml:space="preserve"> o </w:t>
      </w:r>
      <w:r w:rsidRPr="00D61A55">
        <w:rPr>
          <w:rFonts w:cs="Times New Roman"/>
          <w:i/>
          <w:lang w:eastAsia="es-ES"/>
        </w:rPr>
        <w:t>grado académico</w:t>
      </w:r>
      <w:r>
        <w:rPr>
          <w:rFonts w:cs="Times New Roman"/>
          <w:lang w:eastAsia="es-ES"/>
        </w:rPr>
        <w:t xml:space="preserve"> en las percepciones de los estudiantes de programas educativos en línea </w:t>
      </w:r>
      <w:r w:rsidR="00D61A55">
        <w:rPr>
          <w:rFonts w:cs="Times New Roman"/>
          <w:lang w:eastAsia="es-ES"/>
        </w:rPr>
        <w:t>sobre</w:t>
      </w:r>
      <w:r>
        <w:rPr>
          <w:rFonts w:cs="Times New Roman"/>
          <w:lang w:eastAsia="es-ES"/>
        </w:rPr>
        <w:t xml:space="preserve"> la competencia de sus docentes. </w:t>
      </w:r>
    </w:p>
    <w:p w14:paraId="22B6496E" w14:textId="77777777" w:rsidR="000850FC" w:rsidRPr="00E60AEB" w:rsidRDefault="000850FC" w:rsidP="000850FC">
      <w:pPr>
        <w:numPr>
          <w:ilvl w:val="0"/>
          <w:numId w:val="1"/>
        </w:numPr>
        <w:tabs>
          <w:tab w:val="left" w:pos="993"/>
        </w:tabs>
        <w:ind w:left="993" w:hanging="284"/>
        <w:rPr>
          <w:rFonts w:cs="Times New Roman"/>
          <w:noProof/>
        </w:rPr>
      </w:pPr>
      <w:r>
        <w:rPr>
          <w:rFonts w:cs="Times New Roman"/>
          <w:lang w:eastAsia="es-ES"/>
        </w:rPr>
        <w:t>Reconocer</w:t>
      </w:r>
      <w:r w:rsidRPr="00071C2A">
        <w:rPr>
          <w:rFonts w:cs="Times New Roman"/>
          <w:lang w:eastAsia="es-ES"/>
        </w:rPr>
        <w:t xml:space="preserve"> los aspectos críticos que los estudiantes </w:t>
      </w:r>
      <w:r>
        <w:rPr>
          <w:rFonts w:cs="Times New Roman"/>
          <w:lang w:eastAsia="es-ES"/>
        </w:rPr>
        <w:t>identifican en</w:t>
      </w:r>
      <w:r w:rsidRPr="00071C2A">
        <w:rPr>
          <w:rFonts w:cs="Times New Roman"/>
          <w:lang w:eastAsia="es-ES"/>
        </w:rPr>
        <w:t xml:space="preserve"> un docente de alto nivel de competencia mediante un análisis de los elementos que integran las competencias específicas para la docencia en línea.</w:t>
      </w:r>
    </w:p>
    <w:p w14:paraId="44D1A8A4" w14:textId="77777777" w:rsidR="00CF71FB" w:rsidRPr="00071C2A" w:rsidRDefault="00CF71FB" w:rsidP="000850FC">
      <w:pPr>
        <w:tabs>
          <w:tab w:val="left" w:pos="993"/>
        </w:tabs>
        <w:ind w:left="993"/>
        <w:rPr>
          <w:rFonts w:cs="Times New Roman"/>
          <w:noProof/>
        </w:rPr>
      </w:pPr>
    </w:p>
    <w:p w14:paraId="199E515B" w14:textId="77777777" w:rsidR="000850FC" w:rsidRPr="007C75CA" w:rsidRDefault="000850FC" w:rsidP="000850FC">
      <w:pPr>
        <w:jc w:val="center"/>
        <w:rPr>
          <w:rFonts w:cs="Times New Roman"/>
          <w:b/>
          <w:sz w:val="32"/>
          <w:szCs w:val="32"/>
          <w:lang w:val="es-ES"/>
        </w:rPr>
      </w:pPr>
      <w:r w:rsidRPr="007C75CA">
        <w:rPr>
          <w:rFonts w:cs="Times New Roman"/>
          <w:b/>
          <w:sz w:val="32"/>
          <w:szCs w:val="32"/>
          <w:lang w:val="es-ES"/>
        </w:rPr>
        <w:t xml:space="preserve">Materiales y </w:t>
      </w:r>
      <w:r w:rsidR="00D61A55">
        <w:rPr>
          <w:rFonts w:cs="Times New Roman"/>
          <w:b/>
          <w:sz w:val="32"/>
          <w:szCs w:val="32"/>
          <w:lang w:val="es-ES"/>
        </w:rPr>
        <w:t>m</w:t>
      </w:r>
      <w:r w:rsidRPr="007C75CA">
        <w:rPr>
          <w:rFonts w:cs="Times New Roman"/>
          <w:b/>
          <w:sz w:val="32"/>
          <w:szCs w:val="32"/>
          <w:lang w:val="es-ES"/>
        </w:rPr>
        <w:t>étodos</w:t>
      </w:r>
    </w:p>
    <w:p w14:paraId="4E0C485A" w14:textId="77777777" w:rsidR="000850FC" w:rsidRPr="007C75CA" w:rsidRDefault="000850FC" w:rsidP="000850FC">
      <w:pPr>
        <w:jc w:val="center"/>
        <w:rPr>
          <w:rFonts w:cs="Times New Roman"/>
          <w:b/>
          <w:sz w:val="28"/>
          <w:szCs w:val="28"/>
          <w:lang w:val="es-ES"/>
        </w:rPr>
      </w:pPr>
      <w:r w:rsidRPr="007C75CA">
        <w:rPr>
          <w:rFonts w:cs="Times New Roman"/>
          <w:b/>
          <w:sz w:val="28"/>
          <w:szCs w:val="28"/>
          <w:lang w:val="es-ES"/>
        </w:rPr>
        <w:t>Diseño de la investigación</w:t>
      </w:r>
      <w:r w:rsidR="00D61A55">
        <w:rPr>
          <w:rFonts w:cs="Times New Roman"/>
          <w:b/>
          <w:sz w:val="28"/>
          <w:szCs w:val="28"/>
          <w:lang w:val="es-ES"/>
        </w:rPr>
        <w:t xml:space="preserve"> </w:t>
      </w:r>
    </w:p>
    <w:p w14:paraId="4840728C" w14:textId="77777777" w:rsidR="000850FC" w:rsidRDefault="000850FC" w:rsidP="00D61A55">
      <w:pPr>
        <w:ind w:firstLine="708"/>
        <w:rPr>
          <w:rFonts w:cs="Times New Roman"/>
          <w:lang w:val="es-ES"/>
        </w:rPr>
      </w:pPr>
      <w:r w:rsidRPr="00071C2A">
        <w:rPr>
          <w:rFonts w:cs="Times New Roman"/>
          <w:lang w:val="es-ES"/>
        </w:rPr>
        <w:t xml:space="preserve">La metodología de investigación siguió dos líneas principales: la construcción de un modelo teórico de competencias para la docencia en línea </w:t>
      </w:r>
      <w:r>
        <w:rPr>
          <w:rFonts w:cs="Times New Roman"/>
          <w:lang w:val="es-ES"/>
        </w:rPr>
        <w:fldChar w:fldCharType="begin"/>
      </w:r>
      <w:r>
        <w:rPr>
          <w:rFonts w:cs="Times New Roman"/>
          <w:lang w:val="es-ES"/>
        </w:rPr>
        <w:instrText xml:space="preserve"> ADDIN ZOTERO_ITEM CSL_CITATION {"citationID":"idKkHL8q","properties":{"formattedCitation":"(Dom\\uc0\\u237{}nguez-Gonz\\uc0\\u225{}lez et\\uc0\\u160{}al., 2010)","plainCitation":"(Domínguez-González et al., 2010)","noteIndex":0},"citationItems":[{"id":46,"uris":["http://zotero.org/users/local/tvKJQPKe/items/Z7AAKC4V"],"uri":["http://zotero.org/users/local/tvKJQPKe/items/Z7AAKC4V"],"itemData":{"id":46,"type":"paper-conference","container-title":"Proceedings of the ICERI 2010 Conference","title":"Competencies needed in online teaching in Mexico","URL":"https://scholar.google.com/scholar?hl=es&amp;as_sdt=0%2C5&amp;q=competencies+for+online+teaching+in+mexico+2010%2Bgonzalez&amp;btnG=","author":[{"family":"Domínguez-González","given":"N"},{"family":"Limón","given":"O Hernández"},{"family":"Limón","given":"C Hernández"}],"accessed":{"date-parts":[["2020",4,5]]},"issued":{"date-parts":[["2010"]]}}}],"schema":"https://github.com/citation-style-language/schema/raw/master/csl-citation.json"} </w:instrText>
      </w:r>
      <w:r>
        <w:rPr>
          <w:rFonts w:cs="Times New Roman"/>
          <w:lang w:val="es-ES"/>
        </w:rPr>
        <w:fldChar w:fldCharType="separate"/>
      </w:r>
      <w:r w:rsidRPr="00205EFD">
        <w:rPr>
          <w:rFonts w:cs="Times New Roman"/>
          <w:lang w:val="es-ES_tradnl"/>
        </w:rPr>
        <w:t>(Domínguez-González</w:t>
      </w:r>
      <w:r w:rsidR="00666C3C">
        <w:rPr>
          <w:rFonts w:cs="Times New Roman"/>
          <w:lang w:val="es-ES_tradnl"/>
        </w:rPr>
        <w:t>,</w:t>
      </w:r>
      <w:r w:rsidR="00666C3C" w:rsidRPr="00666C3C">
        <w:rPr>
          <w:rFonts w:cs="Times New Roman"/>
          <w:lang w:val="es-ES_tradnl"/>
        </w:rPr>
        <w:t xml:space="preserve"> </w:t>
      </w:r>
      <w:r w:rsidR="00666C3C" w:rsidRPr="00BE65A0">
        <w:rPr>
          <w:rFonts w:cs="Times New Roman"/>
          <w:lang w:val="es-ES_tradnl"/>
        </w:rPr>
        <w:t>Limón</w:t>
      </w:r>
      <w:r w:rsidR="00666C3C">
        <w:rPr>
          <w:rFonts w:cs="Times New Roman"/>
          <w:lang w:val="es-ES_tradnl"/>
        </w:rPr>
        <w:t xml:space="preserve"> y</w:t>
      </w:r>
      <w:r w:rsidR="00666C3C" w:rsidRPr="00BE65A0">
        <w:rPr>
          <w:rFonts w:cs="Times New Roman"/>
          <w:lang w:val="es-ES_tradnl"/>
        </w:rPr>
        <w:t xml:space="preserve"> Limón</w:t>
      </w:r>
      <w:r w:rsidRPr="00205EFD">
        <w:rPr>
          <w:rFonts w:cs="Times New Roman"/>
          <w:lang w:val="es-ES_tradnl"/>
        </w:rPr>
        <w:t>, 2010)</w:t>
      </w:r>
      <w:r>
        <w:rPr>
          <w:rFonts w:cs="Times New Roman"/>
          <w:lang w:val="es-ES"/>
        </w:rPr>
        <w:fldChar w:fldCharType="end"/>
      </w:r>
      <w:r>
        <w:rPr>
          <w:rFonts w:cs="Times New Roman"/>
          <w:lang w:val="es-ES"/>
        </w:rPr>
        <w:t xml:space="preserve"> </w:t>
      </w:r>
      <w:r w:rsidRPr="00071C2A">
        <w:rPr>
          <w:rFonts w:cs="Times New Roman"/>
          <w:lang w:val="es-ES"/>
        </w:rPr>
        <w:t>y el estudio de la percepción de los estudiantes de seis universidades públicas en México sobre la pertinencia del modelo para evaluar la competencia de docentes de su programa en línea</w:t>
      </w:r>
      <w:r w:rsidR="00D61A55">
        <w:rPr>
          <w:rFonts w:cs="Times New Roman"/>
          <w:lang w:val="es-ES"/>
        </w:rPr>
        <w:t>.</w:t>
      </w:r>
      <w:r>
        <w:rPr>
          <w:rFonts w:cs="Times New Roman"/>
          <w:lang w:val="es-ES"/>
        </w:rPr>
        <w:t xml:space="preserve"> </w:t>
      </w:r>
      <w:r w:rsidR="00D61A55">
        <w:rPr>
          <w:rFonts w:cs="Times New Roman"/>
          <w:lang w:val="es-ES"/>
        </w:rPr>
        <w:t>E</w:t>
      </w:r>
      <w:r>
        <w:rPr>
          <w:rFonts w:cs="Times New Roman"/>
          <w:lang w:val="es-ES"/>
        </w:rPr>
        <w:t xml:space="preserve">sta información </w:t>
      </w:r>
      <w:r w:rsidR="00D61A55">
        <w:rPr>
          <w:rFonts w:cs="Times New Roman"/>
          <w:lang w:val="es-ES"/>
        </w:rPr>
        <w:t xml:space="preserve">fue triangulada </w:t>
      </w:r>
      <w:r>
        <w:rPr>
          <w:rFonts w:cs="Times New Roman"/>
          <w:lang w:val="es-ES"/>
        </w:rPr>
        <w:t>con la obtenida de los modelos psicopedagógicos de las seis instituciones y los recursos que ofrecen las instituciones desde la percepción de los gestores universitarios a la función docente en línea.</w:t>
      </w:r>
    </w:p>
    <w:p w14:paraId="6B773422" w14:textId="77777777" w:rsidR="000850FC" w:rsidRDefault="000850FC" w:rsidP="000850FC">
      <w:pPr>
        <w:ind w:firstLine="708"/>
        <w:rPr>
          <w:rFonts w:cs="Times New Roman"/>
          <w:lang w:val="es-ES"/>
        </w:rPr>
      </w:pPr>
      <w:r>
        <w:rPr>
          <w:rFonts w:cs="Times New Roman"/>
          <w:lang w:val="es-ES"/>
        </w:rPr>
        <w:lastRenderedPageBreak/>
        <w:t xml:space="preserve">La investigación fue social no experimental o </w:t>
      </w:r>
      <w:r w:rsidR="00D61A55" w:rsidRPr="006145CF">
        <w:rPr>
          <w:rFonts w:cs="Times New Roman"/>
          <w:i/>
          <w:lang w:val="es-ES"/>
        </w:rPr>
        <w:t>ex post facto</w:t>
      </w:r>
      <w:r w:rsidR="00D61A55">
        <w:rPr>
          <w:rFonts w:cs="Times New Roman"/>
          <w:lang w:val="es-ES"/>
        </w:rPr>
        <w:t>,</w:t>
      </w:r>
      <w:r>
        <w:rPr>
          <w:rFonts w:cs="Times New Roman"/>
          <w:lang w:val="es-ES"/>
        </w:rPr>
        <w:t xml:space="preserve"> basada en el análisis de hechos ya ocurridos, es decir</w:t>
      </w:r>
      <w:r w:rsidR="00D61A55">
        <w:rPr>
          <w:rFonts w:cs="Times New Roman"/>
          <w:lang w:val="es-ES"/>
        </w:rPr>
        <w:t>,</w:t>
      </w:r>
      <w:r>
        <w:rPr>
          <w:rFonts w:cs="Times New Roman"/>
          <w:lang w:val="es-ES"/>
        </w:rPr>
        <w:t xml:space="preserve"> la experiencia que ya tenían los estudiantes sobre las competencias de sus docentes. </w:t>
      </w:r>
      <w:r w:rsidR="00D61A55">
        <w:rPr>
          <w:rFonts w:cs="Times New Roman"/>
          <w:lang w:val="es-ES"/>
        </w:rPr>
        <w:t>También fue</w:t>
      </w:r>
      <w:r>
        <w:rPr>
          <w:rFonts w:cs="Times New Roman"/>
          <w:lang w:val="es-ES"/>
        </w:rPr>
        <w:t xml:space="preserve"> investigación aplicada, pues se enfocó en comprender de manera transversal la naturaleza de la docencia en línea a partir de investigaciones e ideas que se tenían al respecto. Finalmente, se considera como correlacional </w:t>
      </w:r>
      <w:r w:rsidR="00D61A55">
        <w:rPr>
          <w:rFonts w:cs="Times New Roman"/>
          <w:lang w:val="es-ES"/>
        </w:rPr>
        <w:t>porque se</w:t>
      </w:r>
      <w:r>
        <w:rPr>
          <w:rFonts w:cs="Times New Roman"/>
          <w:lang w:val="es-ES"/>
        </w:rPr>
        <w:t xml:space="preserve"> buscó determinar el grado de asociación de las cinco variables de estudio</w:t>
      </w:r>
      <w:r w:rsidR="00D61A55">
        <w:rPr>
          <w:rFonts w:cs="Times New Roman"/>
          <w:lang w:val="es-ES"/>
        </w:rPr>
        <w:t>:</w:t>
      </w:r>
      <w:r>
        <w:rPr>
          <w:rFonts w:cs="Times New Roman"/>
          <w:lang w:val="es-ES"/>
        </w:rPr>
        <w:t xml:space="preserve"> competencias pedagógica, administrativa, social, tecnológica y evaluativa </w:t>
      </w:r>
      <w:r>
        <w:rPr>
          <w:rFonts w:cs="Times New Roman"/>
          <w:lang w:val="es-ES"/>
        </w:rPr>
        <w:fldChar w:fldCharType="begin"/>
      </w:r>
      <w:r>
        <w:rPr>
          <w:rFonts w:cs="Times New Roman"/>
          <w:lang w:val="es-ES"/>
        </w:rPr>
        <w:instrText xml:space="preserve"> ADDIN ZOTERO_ITEM CSL_CITATION {"citationID":"4lV7cyvE","properties":{"formattedCitation":"(Dom\\uc0\\u237{}nguez-Gonz\\uc0\\u225{}lez et\\uc0\\u160{}al., 2010)","plainCitation":"(Domínguez-González et al., 2010)","noteIndex":0},"citationItems":[{"id":46,"uris":["http://zotero.org/users/local/tvKJQPKe/items/Z7AAKC4V"],"uri":["http://zotero.org/users/local/tvKJQPKe/items/Z7AAKC4V"],"itemData":{"id":46,"type":"paper-conference","container-title":"Proceedings of the ICERI 2010 Conference","title":"Competencies needed in online teaching in Mexico","URL":"https://scholar.google.com/scholar?hl=es&amp;as_sdt=0%2C5&amp;q=competencies+for+online+teaching+in+mexico+2010%2Bgonzalez&amp;btnG=","author":[{"family":"Domínguez-González","given":"N"},{"family":"Limón","given":"O Hernández"},{"family":"Limón","given":"C Hernández"}],"accessed":{"date-parts":[["2020",4,5]]},"issued":{"date-parts":[["2010"]]}}}],"schema":"https://github.com/citation-style-language/schema/raw/master/csl-citation.json"} </w:instrText>
      </w:r>
      <w:r>
        <w:rPr>
          <w:rFonts w:cs="Times New Roman"/>
          <w:lang w:val="es-ES"/>
        </w:rPr>
        <w:fldChar w:fldCharType="separate"/>
      </w:r>
      <w:r w:rsidRPr="007C1650">
        <w:rPr>
          <w:rFonts w:cs="Times New Roman"/>
          <w:lang w:val="es-ES_tradnl"/>
        </w:rPr>
        <w:t xml:space="preserve">(Domínguez-González </w:t>
      </w:r>
      <w:r w:rsidRPr="00D61A55">
        <w:rPr>
          <w:rFonts w:cs="Times New Roman"/>
          <w:i/>
          <w:lang w:val="es-ES_tradnl"/>
        </w:rPr>
        <w:t>et al</w:t>
      </w:r>
      <w:r w:rsidRPr="007C1650">
        <w:rPr>
          <w:rFonts w:cs="Times New Roman"/>
          <w:lang w:val="es-ES_tradnl"/>
        </w:rPr>
        <w:t>., 2010)</w:t>
      </w:r>
      <w:r>
        <w:rPr>
          <w:rFonts w:cs="Times New Roman"/>
          <w:lang w:val="es-ES"/>
        </w:rPr>
        <w:fldChar w:fldCharType="end"/>
      </w:r>
      <w:r>
        <w:rPr>
          <w:rFonts w:cs="Times New Roman"/>
          <w:lang w:val="es-ES"/>
        </w:rPr>
        <w:t>.</w:t>
      </w:r>
    </w:p>
    <w:p w14:paraId="5717DCEF" w14:textId="77777777" w:rsidR="000850FC" w:rsidRDefault="000850FC" w:rsidP="000850FC">
      <w:pPr>
        <w:rPr>
          <w:rFonts w:cs="Times New Roman"/>
          <w:lang w:val="es-ES"/>
        </w:rPr>
      </w:pPr>
    </w:p>
    <w:p w14:paraId="49839BE8" w14:textId="77777777" w:rsidR="000850FC" w:rsidRPr="0029590A" w:rsidRDefault="000850FC" w:rsidP="000850FC">
      <w:pPr>
        <w:jc w:val="center"/>
        <w:rPr>
          <w:rFonts w:cs="Times New Roman"/>
          <w:b/>
          <w:sz w:val="28"/>
          <w:szCs w:val="28"/>
          <w:lang w:val="es-ES"/>
        </w:rPr>
      </w:pPr>
      <w:r w:rsidRPr="0029590A">
        <w:rPr>
          <w:rFonts w:cs="Times New Roman"/>
          <w:b/>
          <w:sz w:val="28"/>
          <w:szCs w:val="28"/>
          <w:lang w:val="es-ES"/>
        </w:rPr>
        <w:t>Población del estudio y muestra obtenida</w:t>
      </w:r>
    </w:p>
    <w:p w14:paraId="59010060" w14:textId="77777777" w:rsidR="008900D5" w:rsidRDefault="000850FC" w:rsidP="008900D5">
      <w:pPr>
        <w:ind w:firstLine="708"/>
        <w:rPr>
          <w:rFonts w:cs="Times New Roman"/>
          <w:lang w:val="es-ES"/>
        </w:rPr>
      </w:pPr>
      <w:r w:rsidRPr="00F462A7">
        <w:rPr>
          <w:rFonts w:cs="Times New Roman"/>
          <w:lang w:val="es-ES"/>
        </w:rPr>
        <w:t>El método de selección de la muestra tanto de instituciones como de las poblaciones dentro de cada institución fue intencional por conveniencia</w:t>
      </w:r>
      <w:r w:rsidR="00D61A55">
        <w:rPr>
          <w:rFonts w:cs="Times New Roman"/>
          <w:lang w:val="es-ES"/>
        </w:rPr>
        <w:t xml:space="preserve">. En concreto, </w:t>
      </w:r>
      <w:r w:rsidRPr="00F462A7">
        <w:rPr>
          <w:rFonts w:cs="Times New Roman"/>
          <w:lang w:val="es-ES"/>
        </w:rPr>
        <w:t>se eligi</w:t>
      </w:r>
      <w:r>
        <w:rPr>
          <w:rFonts w:cs="Times New Roman"/>
          <w:lang w:val="es-ES"/>
        </w:rPr>
        <w:t xml:space="preserve">eron </w:t>
      </w:r>
      <w:r w:rsidRPr="00F462A7">
        <w:rPr>
          <w:rFonts w:cs="Times New Roman"/>
          <w:lang w:val="es-ES"/>
        </w:rPr>
        <w:t xml:space="preserve">seis instituciones </w:t>
      </w:r>
      <w:r>
        <w:rPr>
          <w:rFonts w:cs="Times New Roman"/>
          <w:lang w:val="es-ES"/>
        </w:rPr>
        <w:t xml:space="preserve">públicas </w:t>
      </w:r>
      <w:r w:rsidRPr="00F462A7">
        <w:rPr>
          <w:rFonts w:cs="Times New Roman"/>
          <w:lang w:val="es-ES"/>
        </w:rPr>
        <w:t>representativas de la educación superior en el país</w:t>
      </w:r>
      <w:r>
        <w:rPr>
          <w:rFonts w:cs="Times New Roman"/>
          <w:lang w:val="es-ES"/>
        </w:rPr>
        <w:t xml:space="preserve"> (</w:t>
      </w:r>
      <w:r w:rsidR="00D61A55">
        <w:rPr>
          <w:rFonts w:cs="Times New Roman"/>
          <w:lang w:val="es-ES"/>
        </w:rPr>
        <w:t>t</w:t>
      </w:r>
      <w:r>
        <w:rPr>
          <w:rFonts w:cs="Times New Roman"/>
          <w:lang w:val="es-ES"/>
        </w:rPr>
        <w:t xml:space="preserve">abla 1) </w:t>
      </w:r>
      <w:r w:rsidRPr="00F462A7">
        <w:rPr>
          <w:rFonts w:cs="Times New Roman"/>
          <w:lang w:val="es-ES"/>
        </w:rPr>
        <w:t xml:space="preserve">dedicadas a la </w:t>
      </w:r>
      <w:r w:rsidR="008900D5">
        <w:rPr>
          <w:rFonts w:cs="Times New Roman"/>
          <w:lang w:val="es-ES"/>
        </w:rPr>
        <w:t>formación</w:t>
      </w:r>
      <w:r w:rsidRPr="00F462A7">
        <w:rPr>
          <w:rFonts w:cs="Times New Roman"/>
          <w:lang w:val="es-ES"/>
        </w:rPr>
        <w:t xml:space="preserve"> presencial</w:t>
      </w:r>
      <w:r w:rsidR="00D61A55">
        <w:rPr>
          <w:rFonts w:cs="Times New Roman"/>
          <w:lang w:val="es-ES"/>
        </w:rPr>
        <w:t>,</w:t>
      </w:r>
      <w:r w:rsidRPr="00F462A7">
        <w:rPr>
          <w:rFonts w:cs="Times New Roman"/>
          <w:lang w:val="es-ES"/>
        </w:rPr>
        <w:t xml:space="preserve"> pero que en su estructura </w:t>
      </w:r>
      <w:r w:rsidR="008900D5">
        <w:rPr>
          <w:rFonts w:cs="Times New Roman"/>
          <w:lang w:val="es-ES"/>
        </w:rPr>
        <w:t>contaban</w:t>
      </w:r>
      <w:r w:rsidRPr="00F462A7">
        <w:rPr>
          <w:rFonts w:cs="Times New Roman"/>
          <w:lang w:val="es-ES"/>
        </w:rPr>
        <w:t xml:space="preserve"> con una división dedicada a la educación a distancia</w:t>
      </w:r>
      <w:r w:rsidR="00D61A55">
        <w:rPr>
          <w:rFonts w:cs="Times New Roman"/>
          <w:lang w:val="es-ES"/>
        </w:rPr>
        <w:t xml:space="preserve">, por lo que </w:t>
      </w:r>
      <w:r w:rsidR="008900D5">
        <w:rPr>
          <w:rFonts w:cs="Times New Roman"/>
          <w:lang w:val="es-ES"/>
        </w:rPr>
        <w:t>la habían</w:t>
      </w:r>
      <w:r w:rsidRPr="00F462A7">
        <w:rPr>
          <w:rFonts w:cs="Times New Roman"/>
          <w:lang w:val="es-ES"/>
        </w:rPr>
        <w:t xml:space="preserve"> incorporado con éxito en sus ofertas educativas </w:t>
      </w:r>
      <w:r>
        <w:rPr>
          <w:rFonts w:cs="Times New Roman"/>
          <w:lang w:val="es-ES"/>
        </w:rPr>
        <w:t xml:space="preserve">a nivel superior </w:t>
      </w:r>
      <w:r w:rsidRPr="00F462A7">
        <w:rPr>
          <w:rFonts w:cs="Times New Roman"/>
          <w:lang w:val="es-ES"/>
        </w:rPr>
        <w:t>con validez oficial</w:t>
      </w:r>
      <w:r>
        <w:rPr>
          <w:rFonts w:cs="Times New Roman"/>
          <w:lang w:val="es-ES"/>
        </w:rPr>
        <w:t>.</w:t>
      </w:r>
    </w:p>
    <w:p w14:paraId="16784EB3" w14:textId="452ADFC4" w:rsidR="000850FC" w:rsidRPr="00CD1ECA" w:rsidRDefault="000850FC" w:rsidP="008900D5">
      <w:pPr>
        <w:ind w:firstLine="708"/>
        <w:rPr>
          <w:i/>
        </w:rPr>
      </w:pPr>
      <w:r>
        <w:rPr>
          <w:rFonts w:cs="Times New Roman"/>
          <w:lang w:val="es-ES"/>
        </w:rPr>
        <w:t xml:space="preserve">Los informantes elegidos fueron validados </w:t>
      </w:r>
      <w:r w:rsidR="008900D5">
        <w:rPr>
          <w:rFonts w:cs="Times New Roman"/>
          <w:lang w:val="es-ES"/>
        </w:rPr>
        <w:t>según este</w:t>
      </w:r>
      <w:r>
        <w:rPr>
          <w:rFonts w:cs="Times New Roman"/>
          <w:lang w:val="es-ES"/>
        </w:rPr>
        <w:t xml:space="preserve"> criterio</w:t>
      </w:r>
      <w:r w:rsidR="008900D5">
        <w:rPr>
          <w:rFonts w:cs="Times New Roman"/>
          <w:lang w:val="es-ES"/>
        </w:rPr>
        <w:t>:</w:t>
      </w:r>
      <w:r>
        <w:rPr>
          <w:rFonts w:cs="Times New Roman"/>
          <w:lang w:val="es-ES"/>
        </w:rPr>
        <w:t xml:space="preserve"> ser estudiantes regulares en cada uno de los programas a nivel superior (licenciatura, especialidad, diplomado y posgrado), cuyo avance en sus respectivos programas fuera superior a 50 % para confirmar que hubieran tenido interacción con al menos 50</w:t>
      </w:r>
      <w:r w:rsidR="008900D5">
        <w:rPr>
          <w:rFonts w:cs="Times New Roman"/>
          <w:lang w:val="es-ES"/>
        </w:rPr>
        <w:t xml:space="preserve"> </w:t>
      </w:r>
      <w:r>
        <w:rPr>
          <w:rFonts w:cs="Times New Roman"/>
          <w:lang w:val="es-ES"/>
        </w:rPr>
        <w:t>% de la planta docente del programa y estuvieran inmersos en la dinámica de la educación en línea. En el estudio se contó con la participación total de 87 estudiantes (</w:t>
      </w:r>
      <w:r w:rsidR="008900D5">
        <w:rPr>
          <w:rFonts w:cs="Times New Roman"/>
          <w:lang w:val="es-ES"/>
        </w:rPr>
        <w:t>t</w:t>
      </w:r>
      <w:r>
        <w:rPr>
          <w:rFonts w:cs="Times New Roman"/>
          <w:lang w:val="es-ES"/>
        </w:rPr>
        <w:t>abla 1), de los cuales 46 % fueron hombres</w:t>
      </w:r>
      <w:r w:rsidR="008900D5">
        <w:rPr>
          <w:rFonts w:cs="Times New Roman"/>
          <w:lang w:val="es-ES"/>
        </w:rPr>
        <w:t xml:space="preserve"> y</w:t>
      </w:r>
      <w:r>
        <w:rPr>
          <w:rFonts w:cs="Times New Roman"/>
          <w:lang w:val="es-ES"/>
        </w:rPr>
        <w:t xml:space="preserve"> 54 % mujeres</w:t>
      </w:r>
      <w:r w:rsidR="008900D5">
        <w:rPr>
          <w:rFonts w:cs="Times New Roman"/>
          <w:lang w:val="es-ES"/>
        </w:rPr>
        <w:t>.</w:t>
      </w:r>
      <w:r>
        <w:rPr>
          <w:rFonts w:cs="Times New Roman"/>
          <w:lang w:val="es-ES"/>
        </w:rPr>
        <w:t xml:space="preserve"> </w:t>
      </w:r>
      <w:r w:rsidR="008900D5">
        <w:rPr>
          <w:rFonts w:cs="Times New Roman"/>
          <w:lang w:val="es-ES"/>
        </w:rPr>
        <w:t>E</w:t>
      </w:r>
      <w:r>
        <w:rPr>
          <w:rFonts w:cs="Times New Roman"/>
          <w:lang w:val="es-ES"/>
        </w:rPr>
        <w:t xml:space="preserve">l promedio de edad fue de 28.6 años; 62 % contaba con estudios de licenciatura, 2 % con estudios de especialidad, 15 % estudios de maestría, y 21 % estudios de doctorado. Todos ellos con acceso a Internet, </w:t>
      </w:r>
      <w:r w:rsidR="008900D5">
        <w:rPr>
          <w:rFonts w:cs="Times New Roman"/>
          <w:lang w:val="es-ES"/>
        </w:rPr>
        <w:t xml:space="preserve">así como </w:t>
      </w:r>
      <w:r>
        <w:rPr>
          <w:rFonts w:cs="Times New Roman"/>
          <w:lang w:val="es-ES"/>
        </w:rPr>
        <w:t xml:space="preserve">a equipos de cómputo personal </w:t>
      </w:r>
      <w:r w:rsidR="008900D5">
        <w:rPr>
          <w:rFonts w:cs="Times New Roman"/>
          <w:lang w:val="es-ES"/>
        </w:rPr>
        <w:t>(</w:t>
      </w:r>
      <w:r>
        <w:rPr>
          <w:rFonts w:cs="Times New Roman"/>
          <w:lang w:val="es-ES"/>
        </w:rPr>
        <w:t>en casa, en sus lugares de trabajo o en sitios públicos</w:t>
      </w:r>
      <w:r w:rsidR="008900D5">
        <w:rPr>
          <w:rFonts w:cs="Times New Roman"/>
          <w:lang w:val="es-ES"/>
        </w:rPr>
        <w:t>)</w:t>
      </w:r>
      <w:r>
        <w:rPr>
          <w:rFonts w:cs="Times New Roman"/>
          <w:lang w:val="es-ES"/>
        </w:rPr>
        <w:t xml:space="preserve"> y con conocimientos sobre el uso de plataformas educativas, </w:t>
      </w:r>
      <w:r w:rsidRPr="008900D5">
        <w:rPr>
          <w:rFonts w:cs="Times New Roman"/>
          <w:i/>
          <w:lang w:val="es-ES"/>
        </w:rPr>
        <w:t>software</w:t>
      </w:r>
      <w:r>
        <w:rPr>
          <w:rFonts w:cs="Times New Roman"/>
          <w:lang w:val="es-ES"/>
        </w:rPr>
        <w:t xml:space="preserve"> de ofimática y educación en línea. En esta investigación se contó con representación de instituciones públicas de educación superior líderes de las zonas norte, centro, bajío y sureste del </w:t>
      </w:r>
      <w:r w:rsidRPr="00E539F2">
        <w:rPr>
          <w:rFonts w:cs="Times New Roman"/>
          <w:lang w:val="es-ES"/>
        </w:rPr>
        <w:t xml:space="preserve">país </w:t>
      </w:r>
      <w:r w:rsidRPr="00ED6DA0">
        <w:fldChar w:fldCharType="begin"/>
      </w:r>
      <w:r w:rsidRPr="00ED6DA0">
        <w:instrText xml:space="preserve"> ADDIN ZOTERO_ITEM CSL_CITATION {"citationID":"RjPJYmzg","properties":{"formattedCitation":"(Dom\\uc0\\u237{}nguez Gonz\\uc0\\u225{}lez, 2012)","plainCitation":"(Domínguez González, 2012)","noteIndex":0},"citationItems":[{"id":61,"uris":["http://zotero.org/users/local/tvKJQPKe/items/TATJUIW4"],"uri":["http://zotero.org/users/local/tvKJQPKe/items/TATJUIW4"],"itemData":{"id":61,"type":"thesis","event-place":"Ciudad de México","genre":"Tesis doctoral inédita","language":"Esp","number-of-pages":"157","publisher":"Universidad Da Vinci","publisher-place":"Ciudad de México","title":"Competencias para la Docencia en Línea, ECOESAD, México","author":[{"family":"Domínguez González","given":"Nancy"}],"issued":{"date-parts":[["2012"]]}}}],"schema":"https://github.com/citation-style-language/schema/raw/master/csl-citation.json"} </w:instrText>
      </w:r>
      <w:r w:rsidRPr="00ED6DA0">
        <w:fldChar w:fldCharType="separate"/>
      </w:r>
      <w:r w:rsidRPr="00ED6DA0">
        <w:rPr>
          <w:rFonts w:cs="Times New Roman"/>
          <w:lang w:val="es-ES_tradnl"/>
        </w:rPr>
        <w:t>(Domínguez González, 2012)</w:t>
      </w:r>
      <w:r w:rsidRPr="00ED6DA0">
        <w:fldChar w:fldCharType="end"/>
      </w:r>
      <w:r w:rsidRPr="00ED6DA0">
        <w:t>.</w:t>
      </w:r>
    </w:p>
    <w:p w14:paraId="206FEB1E" w14:textId="52D67978" w:rsidR="000850FC" w:rsidRDefault="000850FC" w:rsidP="000850FC">
      <w:pPr>
        <w:ind w:firstLine="708"/>
        <w:rPr>
          <w:rFonts w:cs="Times New Roman"/>
          <w:lang w:val="es-ES"/>
        </w:rPr>
      </w:pPr>
      <w:r>
        <w:rPr>
          <w:rFonts w:cs="Times New Roman"/>
          <w:lang w:val="es-ES"/>
        </w:rPr>
        <w:t>.</w:t>
      </w:r>
    </w:p>
    <w:p w14:paraId="08FED946" w14:textId="33E1FC64" w:rsidR="00727258" w:rsidRDefault="00727258" w:rsidP="000850FC">
      <w:pPr>
        <w:ind w:firstLine="708"/>
        <w:rPr>
          <w:rFonts w:cs="Times New Roman"/>
          <w:lang w:val="es-ES"/>
        </w:rPr>
      </w:pPr>
    </w:p>
    <w:p w14:paraId="7F9C5760" w14:textId="051A2AB8" w:rsidR="00727258" w:rsidRDefault="00727258" w:rsidP="000850FC">
      <w:pPr>
        <w:ind w:firstLine="708"/>
        <w:rPr>
          <w:rFonts w:cs="Times New Roman"/>
          <w:lang w:val="es-ES"/>
        </w:rPr>
      </w:pPr>
    </w:p>
    <w:p w14:paraId="57E57C2E" w14:textId="19D9D86A" w:rsidR="002226F3" w:rsidRDefault="002226F3" w:rsidP="000850FC">
      <w:pPr>
        <w:ind w:firstLine="708"/>
        <w:rPr>
          <w:rFonts w:cs="Times New Roman"/>
          <w:lang w:val="es-ES"/>
        </w:rPr>
      </w:pPr>
    </w:p>
    <w:p w14:paraId="55501CF8" w14:textId="77777777" w:rsidR="002226F3" w:rsidRDefault="002226F3" w:rsidP="000850FC">
      <w:pPr>
        <w:ind w:firstLine="708"/>
        <w:rPr>
          <w:rFonts w:cs="Times New Roman"/>
          <w:lang w:val="es-ES"/>
        </w:rPr>
      </w:pPr>
    </w:p>
    <w:p w14:paraId="009B9952" w14:textId="77777777" w:rsidR="000850FC" w:rsidRDefault="000850FC" w:rsidP="008900D5">
      <w:pPr>
        <w:jc w:val="center"/>
        <w:rPr>
          <w:rFonts w:cs="Times New Roman"/>
          <w:lang w:val="es-ES"/>
        </w:rPr>
      </w:pPr>
      <w:r w:rsidRPr="00B324BD">
        <w:rPr>
          <w:rFonts w:cs="Times New Roman"/>
          <w:b/>
          <w:lang w:val="es-ES"/>
        </w:rPr>
        <w:lastRenderedPageBreak/>
        <w:t>Tabla 1.</w:t>
      </w:r>
      <w:r w:rsidRPr="00B324BD">
        <w:rPr>
          <w:rFonts w:cs="Times New Roman"/>
          <w:lang w:val="es-ES"/>
        </w:rPr>
        <w:t xml:space="preserve"> Instituciones, programas y población que participó en el estudio</w:t>
      </w:r>
    </w:p>
    <w:tbl>
      <w:tblPr>
        <w:tblStyle w:val="Tablaconcuadrcula"/>
        <w:tblW w:w="0" w:type="auto"/>
        <w:tblLook w:val="04A0" w:firstRow="1" w:lastRow="0" w:firstColumn="1" w:lastColumn="0" w:noHBand="0" w:noVBand="1"/>
      </w:tblPr>
      <w:tblGrid>
        <w:gridCol w:w="3739"/>
        <w:gridCol w:w="1028"/>
        <w:gridCol w:w="3451"/>
        <w:gridCol w:w="1176"/>
      </w:tblGrid>
      <w:tr w:rsidR="000850FC" w:rsidRPr="009B4B7A" w14:paraId="1A5DDC05" w14:textId="77777777" w:rsidTr="00B324BD">
        <w:tc>
          <w:tcPr>
            <w:tcW w:w="3739" w:type="dxa"/>
          </w:tcPr>
          <w:p w14:paraId="6C5593D6" w14:textId="77777777" w:rsidR="000850FC" w:rsidRPr="009B4B7A" w:rsidRDefault="000850FC" w:rsidP="00B324BD">
            <w:pPr>
              <w:rPr>
                <w:rFonts w:cs="Times New Roman"/>
                <w:lang w:val="es-ES"/>
              </w:rPr>
            </w:pPr>
            <w:r w:rsidRPr="009B4B7A">
              <w:rPr>
                <w:rFonts w:cs="Times New Roman"/>
                <w:lang w:val="es-ES"/>
              </w:rPr>
              <w:t>Institución</w:t>
            </w:r>
          </w:p>
        </w:tc>
        <w:tc>
          <w:tcPr>
            <w:tcW w:w="1028" w:type="dxa"/>
          </w:tcPr>
          <w:p w14:paraId="2A1569A9" w14:textId="77777777" w:rsidR="000850FC" w:rsidRPr="009B4B7A" w:rsidRDefault="000850FC" w:rsidP="00B324BD">
            <w:pPr>
              <w:rPr>
                <w:rFonts w:cs="Times New Roman"/>
                <w:lang w:val="es-ES"/>
              </w:rPr>
            </w:pPr>
            <w:r>
              <w:rPr>
                <w:rFonts w:cs="Times New Roman"/>
                <w:lang w:val="es-ES"/>
              </w:rPr>
              <w:t>Z</w:t>
            </w:r>
            <w:r w:rsidRPr="009B4B7A">
              <w:rPr>
                <w:rFonts w:cs="Times New Roman"/>
                <w:lang w:val="es-ES"/>
              </w:rPr>
              <w:t>ona</w:t>
            </w:r>
          </w:p>
        </w:tc>
        <w:tc>
          <w:tcPr>
            <w:tcW w:w="3451" w:type="dxa"/>
          </w:tcPr>
          <w:p w14:paraId="12835396" w14:textId="77777777" w:rsidR="000850FC" w:rsidRPr="009B4B7A" w:rsidRDefault="000850FC" w:rsidP="00B324BD">
            <w:pPr>
              <w:rPr>
                <w:rFonts w:cs="Times New Roman"/>
                <w:lang w:val="es-ES"/>
              </w:rPr>
            </w:pPr>
            <w:r>
              <w:rPr>
                <w:rFonts w:cs="Times New Roman"/>
                <w:lang w:val="es-ES"/>
              </w:rPr>
              <w:t>P</w:t>
            </w:r>
            <w:r w:rsidRPr="009B4B7A">
              <w:rPr>
                <w:rFonts w:cs="Times New Roman"/>
                <w:lang w:val="es-ES"/>
              </w:rPr>
              <w:t>rograma</w:t>
            </w:r>
          </w:p>
        </w:tc>
        <w:tc>
          <w:tcPr>
            <w:tcW w:w="1176" w:type="dxa"/>
          </w:tcPr>
          <w:p w14:paraId="532A5724" w14:textId="77777777" w:rsidR="000850FC" w:rsidRPr="009B4B7A" w:rsidRDefault="000850FC" w:rsidP="00B324BD">
            <w:pPr>
              <w:rPr>
                <w:rFonts w:cs="Times New Roman"/>
                <w:lang w:val="es-ES"/>
              </w:rPr>
            </w:pPr>
            <w:r w:rsidRPr="009B4B7A">
              <w:rPr>
                <w:rFonts w:cs="Times New Roman"/>
                <w:lang w:val="es-ES"/>
              </w:rPr>
              <w:t>Población</w:t>
            </w:r>
          </w:p>
        </w:tc>
      </w:tr>
      <w:tr w:rsidR="000850FC" w:rsidRPr="009B4B7A" w14:paraId="663098F1" w14:textId="77777777" w:rsidTr="00B324BD">
        <w:tc>
          <w:tcPr>
            <w:tcW w:w="3739" w:type="dxa"/>
          </w:tcPr>
          <w:p w14:paraId="1DCE5A6D" w14:textId="77777777" w:rsidR="000850FC" w:rsidRPr="009B4B7A" w:rsidRDefault="000850FC" w:rsidP="00B324BD">
            <w:pPr>
              <w:spacing w:line="240" w:lineRule="auto"/>
              <w:rPr>
                <w:rFonts w:cs="Times New Roman"/>
                <w:lang w:val="es-ES"/>
              </w:rPr>
            </w:pPr>
            <w:r w:rsidRPr="00F462A7">
              <w:rPr>
                <w:rFonts w:cs="Times New Roman"/>
                <w:lang w:val="es-ES"/>
              </w:rPr>
              <w:t>U</w:t>
            </w:r>
            <w:r>
              <w:rPr>
                <w:rFonts w:cs="Times New Roman"/>
                <w:lang w:val="es-ES"/>
              </w:rPr>
              <w:t>niversidad de Guadalajara (U</w:t>
            </w:r>
            <w:r w:rsidRPr="00F462A7">
              <w:rPr>
                <w:rFonts w:cs="Times New Roman"/>
                <w:lang w:val="es-ES"/>
              </w:rPr>
              <w:t>DG</w:t>
            </w:r>
            <w:r>
              <w:rPr>
                <w:rFonts w:cs="Times New Roman"/>
                <w:lang w:val="es-ES"/>
              </w:rPr>
              <w:t>)</w:t>
            </w:r>
          </w:p>
        </w:tc>
        <w:tc>
          <w:tcPr>
            <w:tcW w:w="1028" w:type="dxa"/>
          </w:tcPr>
          <w:p w14:paraId="106FBA54" w14:textId="77777777" w:rsidR="000850FC" w:rsidRPr="009B4B7A" w:rsidRDefault="000850FC" w:rsidP="00B324BD">
            <w:pPr>
              <w:spacing w:line="240" w:lineRule="auto"/>
              <w:rPr>
                <w:rFonts w:cs="Times New Roman"/>
                <w:lang w:val="es-ES"/>
              </w:rPr>
            </w:pPr>
            <w:r>
              <w:rPr>
                <w:rFonts w:cs="Times New Roman"/>
                <w:lang w:val="es-ES"/>
              </w:rPr>
              <w:t>Bajío</w:t>
            </w:r>
          </w:p>
        </w:tc>
        <w:tc>
          <w:tcPr>
            <w:tcW w:w="3451" w:type="dxa"/>
          </w:tcPr>
          <w:p w14:paraId="294BDADF" w14:textId="77777777" w:rsidR="000850FC" w:rsidRPr="009B4B7A" w:rsidRDefault="000850FC" w:rsidP="00B324BD">
            <w:pPr>
              <w:spacing w:line="240" w:lineRule="auto"/>
              <w:jc w:val="left"/>
              <w:rPr>
                <w:rFonts w:cs="Times New Roman"/>
                <w:lang w:val="es-ES"/>
              </w:rPr>
            </w:pPr>
            <w:r w:rsidRPr="009B4B7A">
              <w:rPr>
                <w:rFonts w:cs="Times New Roman"/>
                <w:lang w:val="es-ES_tradnl"/>
              </w:rPr>
              <w:t>Licenciatura en Educación</w:t>
            </w:r>
          </w:p>
        </w:tc>
        <w:tc>
          <w:tcPr>
            <w:tcW w:w="1176" w:type="dxa"/>
          </w:tcPr>
          <w:p w14:paraId="5E1852E2" w14:textId="77777777" w:rsidR="000850FC" w:rsidRPr="009B4B7A" w:rsidRDefault="000850FC" w:rsidP="00B324BD">
            <w:pPr>
              <w:spacing w:line="240" w:lineRule="auto"/>
              <w:jc w:val="right"/>
              <w:rPr>
                <w:rFonts w:cs="Times New Roman"/>
                <w:lang w:val="es-ES"/>
              </w:rPr>
            </w:pPr>
            <w:r>
              <w:rPr>
                <w:rFonts w:cs="Times New Roman"/>
                <w:lang w:val="es-ES"/>
              </w:rPr>
              <w:t>18</w:t>
            </w:r>
          </w:p>
        </w:tc>
      </w:tr>
      <w:tr w:rsidR="000850FC" w:rsidRPr="009B4B7A" w14:paraId="6D217965" w14:textId="77777777" w:rsidTr="00B324BD">
        <w:tc>
          <w:tcPr>
            <w:tcW w:w="3739" w:type="dxa"/>
          </w:tcPr>
          <w:p w14:paraId="71684484" w14:textId="77777777" w:rsidR="000850FC" w:rsidRPr="00F462A7" w:rsidRDefault="000850FC" w:rsidP="00B324BD">
            <w:pPr>
              <w:spacing w:line="240" w:lineRule="auto"/>
              <w:jc w:val="left"/>
              <w:rPr>
                <w:rFonts w:cs="Times New Roman"/>
                <w:lang w:val="es-ES"/>
              </w:rPr>
            </w:pPr>
            <w:r w:rsidRPr="00F462A7">
              <w:rPr>
                <w:rFonts w:cs="Times New Roman"/>
                <w:lang w:val="es-ES"/>
              </w:rPr>
              <w:t>U</w:t>
            </w:r>
            <w:r>
              <w:rPr>
                <w:rFonts w:cs="Times New Roman"/>
                <w:lang w:val="es-ES"/>
              </w:rPr>
              <w:t>niversidad Nacional Autónoma de México (U</w:t>
            </w:r>
            <w:r w:rsidRPr="00F462A7">
              <w:rPr>
                <w:rFonts w:cs="Times New Roman"/>
                <w:lang w:val="es-ES"/>
              </w:rPr>
              <w:t>NAM</w:t>
            </w:r>
            <w:r>
              <w:rPr>
                <w:rFonts w:cs="Times New Roman"/>
                <w:lang w:val="es-ES"/>
              </w:rPr>
              <w:t>)</w:t>
            </w:r>
          </w:p>
        </w:tc>
        <w:tc>
          <w:tcPr>
            <w:tcW w:w="1028" w:type="dxa"/>
          </w:tcPr>
          <w:p w14:paraId="48197C88" w14:textId="77777777" w:rsidR="000850FC" w:rsidRDefault="000850FC" w:rsidP="00B324BD">
            <w:pPr>
              <w:spacing w:line="240" w:lineRule="auto"/>
              <w:rPr>
                <w:rFonts w:cs="Times New Roman"/>
                <w:lang w:val="es-ES"/>
              </w:rPr>
            </w:pPr>
            <w:r>
              <w:rPr>
                <w:rFonts w:cs="Times New Roman"/>
                <w:lang w:val="es-ES"/>
              </w:rPr>
              <w:t>Centro</w:t>
            </w:r>
          </w:p>
        </w:tc>
        <w:tc>
          <w:tcPr>
            <w:tcW w:w="3451" w:type="dxa"/>
          </w:tcPr>
          <w:p w14:paraId="14CB3B8F" w14:textId="77777777" w:rsidR="000850FC" w:rsidRPr="009B4B7A" w:rsidRDefault="000850FC" w:rsidP="00B324BD">
            <w:pPr>
              <w:spacing w:line="240" w:lineRule="auto"/>
              <w:jc w:val="left"/>
              <w:rPr>
                <w:rFonts w:cs="Times New Roman"/>
                <w:lang w:val="es-ES"/>
              </w:rPr>
            </w:pPr>
            <w:r w:rsidRPr="009B4B7A">
              <w:rPr>
                <w:rFonts w:cs="Times New Roman"/>
                <w:lang w:val="es-ES_tradnl"/>
              </w:rPr>
              <w:t xml:space="preserve">Diplomado </w:t>
            </w:r>
            <w:r>
              <w:rPr>
                <w:rFonts w:cs="Times New Roman"/>
                <w:lang w:val="es-ES_tradnl"/>
              </w:rPr>
              <w:t xml:space="preserve">Superior </w:t>
            </w:r>
            <w:r w:rsidRPr="009B4B7A">
              <w:rPr>
                <w:rFonts w:cs="Times New Roman"/>
                <w:lang w:val="es-ES_tradnl"/>
              </w:rPr>
              <w:t>en Marketing</w:t>
            </w:r>
          </w:p>
        </w:tc>
        <w:tc>
          <w:tcPr>
            <w:tcW w:w="1176" w:type="dxa"/>
          </w:tcPr>
          <w:p w14:paraId="53B8A1BC" w14:textId="77777777" w:rsidR="000850FC" w:rsidRPr="009B4B7A" w:rsidRDefault="000850FC" w:rsidP="00B324BD">
            <w:pPr>
              <w:spacing w:line="240" w:lineRule="auto"/>
              <w:jc w:val="right"/>
              <w:rPr>
                <w:rFonts w:cs="Times New Roman"/>
                <w:lang w:val="es-ES"/>
              </w:rPr>
            </w:pPr>
            <w:r>
              <w:rPr>
                <w:rFonts w:cs="Times New Roman"/>
                <w:lang w:val="es-ES"/>
              </w:rPr>
              <w:t>4</w:t>
            </w:r>
          </w:p>
        </w:tc>
      </w:tr>
      <w:tr w:rsidR="000850FC" w:rsidRPr="009B4B7A" w14:paraId="428C1692" w14:textId="77777777" w:rsidTr="00B324BD">
        <w:tc>
          <w:tcPr>
            <w:tcW w:w="3739" w:type="dxa"/>
          </w:tcPr>
          <w:p w14:paraId="383AF833" w14:textId="77777777" w:rsidR="000850FC" w:rsidRPr="00F462A7" w:rsidRDefault="000850FC" w:rsidP="00B324BD">
            <w:pPr>
              <w:spacing w:line="240" w:lineRule="auto"/>
              <w:jc w:val="left"/>
              <w:rPr>
                <w:rFonts w:cs="Times New Roman"/>
                <w:lang w:val="es-ES"/>
              </w:rPr>
            </w:pPr>
            <w:r w:rsidRPr="00F462A7">
              <w:rPr>
                <w:rFonts w:cs="Times New Roman"/>
                <w:lang w:val="es-ES"/>
              </w:rPr>
              <w:t>U</w:t>
            </w:r>
            <w:r>
              <w:rPr>
                <w:rFonts w:cs="Times New Roman"/>
                <w:lang w:val="es-ES"/>
              </w:rPr>
              <w:t>niversidad Autónoma de Zacatecas (U</w:t>
            </w:r>
            <w:r w:rsidRPr="00F462A7">
              <w:rPr>
                <w:rFonts w:cs="Times New Roman"/>
                <w:lang w:val="es-ES"/>
              </w:rPr>
              <w:t>AZ</w:t>
            </w:r>
            <w:r>
              <w:rPr>
                <w:rFonts w:cs="Times New Roman"/>
                <w:lang w:val="es-ES"/>
              </w:rPr>
              <w:t>)</w:t>
            </w:r>
          </w:p>
        </w:tc>
        <w:tc>
          <w:tcPr>
            <w:tcW w:w="1028" w:type="dxa"/>
          </w:tcPr>
          <w:p w14:paraId="49509491" w14:textId="77777777" w:rsidR="000850FC" w:rsidRDefault="000850FC" w:rsidP="00B324BD">
            <w:pPr>
              <w:spacing w:line="240" w:lineRule="auto"/>
              <w:rPr>
                <w:rFonts w:cs="Times New Roman"/>
                <w:lang w:val="es-ES"/>
              </w:rPr>
            </w:pPr>
            <w:r>
              <w:rPr>
                <w:rFonts w:cs="Times New Roman"/>
                <w:lang w:val="es-ES"/>
              </w:rPr>
              <w:t xml:space="preserve">Centro </w:t>
            </w:r>
          </w:p>
        </w:tc>
        <w:tc>
          <w:tcPr>
            <w:tcW w:w="3451" w:type="dxa"/>
          </w:tcPr>
          <w:p w14:paraId="336068ED" w14:textId="77777777" w:rsidR="000850FC" w:rsidRPr="009B4B7A" w:rsidRDefault="000850FC" w:rsidP="00B324BD">
            <w:pPr>
              <w:spacing w:line="240" w:lineRule="auto"/>
              <w:jc w:val="left"/>
              <w:rPr>
                <w:rFonts w:cs="Times New Roman"/>
                <w:lang w:val="es-ES"/>
              </w:rPr>
            </w:pPr>
            <w:r w:rsidRPr="009B4B7A">
              <w:rPr>
                <w:rFonts w:cs="Times New Roman"/>
                <w:lang w:val="es-ES_tradnl"/>
              </w:rPr>
              <w:t>Especialidad en Tecnologías Informáticas Aplicadas a la Ed</w:t>
            </w:r>
            <w:r>
              <w:rPr>
                <w:rFonts w:cs="Times New Roman"/>
                <w:lang w:val="es-ES_tradnl"/>
              </w:rPr>
              <w:t>.</w:t>
            </w:r>
          </w:p>
        </w:tc>
        <w:tc>
          <w:tcPr>
            <w:tcW w:w="1176" w:type="dxa"/>
          </w:tcPr>
          <w:p w14:paraId="14A6154E" w14:textId="77777777" w:rsidR="000850FC" w:rsidRPr="009B4B7A" w:rsidRDefault="000850FC" w:rsidP="00B324BD">
            <w:pPr>
              <w:spacing w:line="240" w:lineRule="auto"/>
              <w:jc w:val="right"/>
              <w:rPr>
                <w:rFonts w:cs="Times New Roman"/>
                <w:lang w:val="es-ES"/>
              </w:rPr>
            </w:pPr>
            <w:r>
              <w:rPr>
                <w:rFonts w:cs="Times New Roman"/>
                <w:lang w:val="es-ES"/>
              </w:rPr>
              <w:t>19</w:t>
            </w:r>
          </w:p>
        </w:tc>
      </w:tr>
      <w:tr w:rsidR="000850FC" w:rsidRPr="009B4B7A" w14:paraId="68911A64" w14:textId="77777777" w:rsidTr="00B324BD">
        <w:tc>
          <w:tcPr>
            <w:tcW w:w="3739" w:type="dxa"/>
          </w:tcPr>
          <w:p w14:paraId="134AB296" w14:textId="77777777" w:rsidR="000850FC" w:rsidRPr="00F462A7" w:rsidRDefault="000850FC" w:rsidP="00B324BD">
            <w:pPr>
              <w:spacing w:line="240" w:lineRule="auto"/>
              <w:jc w:val="left"/>
              <w:rPr>
                <w:rFonts w:cs="Times New Roman"/>
                <w:lang w:val="es-ES"/>
              </w:rPr>
            </w:pPr>
            <w:r w:rsidRPr="00F462A7">
              <w:rPr>
                <w:rFonts w:cs="Times New Roman"/>
                <w:lang w:val="es-ES"/>
              </w:rPr>
              <w:t>U</w:t>
            </w:r>
            <w:r>
              <w:rPr>
                <w:rFonts w:cs="Times New Roman"/>
                <w:lang w:val="es-ES"/>
              </w:rPr>
              <w:t>niversidad Autónoma de Nuevo León (U</w:t>
            </w:r>
            <w:r w:rsidRPr="00F462A7">
              <w:rPr>
                <w:rFonts w:cs="Times New Roman"/>
                <w:lang w:val="es-ES"/>
              </w:rPr>
              <w:t>ANL</w:t>
            </w:r>
            <w:r>
              <w:rPr>
                <w:rFonts w:cs="Times New Roman"/>
                <w:lang w:val="es-ES"/>
              </w:rPr>
              <w:t>)</w:t>
            </w:r>
          </w:p>
        </w:tc>
        <w:tc>
          <w:tcPr>
            <w:tcW w:w="1028" w:type="dxa"/>
          </w:tcPr>
          <w:p w14:paraId="33B1EC46" w14:textId="77777777" w:rsidR="000850FC" w:rsidRDefault="000850FC" w:rsidP="00B324BD">
            <w:pPr>
              <w:spacing w:line="240" w:lineRule="auto"/>
              <w:rPr>
                <w:rFonts w:cs="Times New Roman"/>
                <w:lang w:val="es-ES"/>
              </w:rPr>
            </w:pPr>
            <w:r>
              <w:rPr>
                <w:rFonts w:cs="Times New Roman"/>
                <w:lang w:val="es-ES"/>
              </w:rPr>
              <w:t>Norte</w:t>
            </w:r>
          </w:p>
        </w:tc>
        <w:tc>
          <w:tcPr>
            <w:tcW w:w="3451" w:type="dxa"/>
          </w:tcPr>
          <w:p w14:paraId="4BC213B8" w14:textId="77777777" w:rsidR="000850FC" w:rsidRPr="009B4B7A" w:rsidRDefault="000850FC" w:rsidP="00B324BD">
            <w:pPr>
              <w:spacing w:line="240" w:lineRule="auto"/>
              <w:jc w:val="left"/>
              <w:rPr>
                <w:rFonts w:cs="Times New Roman"/>
                <w:lang w:val="es-ES"/>
              </w:rPr>
            </w:pPr>
            <w:r w:rsidRPr="009B4B7A">
              <w:rPr>
                <w:rFonts w:cs="Times New Roman"/>
                <w:lang w:val="es-ES_tradnl"/>
              </w:rPr>
              <w:t>Maestría en Psicología</w:t>
            </w:r>
          </w:p>
        </w:tc>
        <w:tc>
          <w:tcPr>
            <w:tcW w:w="1176" w:type="dxa"/>
          </w:tcPr>
          <w:p w14:paraId="6F7B4EF6" w14:textId="77777777" w:rsidR="000850FC" w:rsidRPr="009B4B7A" w:rsidRDefault="000850FC" w:rsidP="00B324BD">
            <w:pPr>
              <w:spacing w:line="240" w:lineRule="auto"/>
              <w:jc w:val="right"/>
              <w:rPr>
                <w:rFonts w:cs="Times New Roman"/>
                <w:lang w:val="es-ES"/>
              </w:rPr>
            </w:pPr>
            <w:r>
              <w:rPr>
                <w:rFonts w:cs="Times New Roman"/>
                <w:lang w:val="es-ES"/>
              </w:rPr>
              <w:t>11</w:t>
            </w:r>
          </w:p>
        </w:tc>
      </w:tr>
      <w:tr w:rsidR="000850FC" w:rsidRPr="009B4B7A" w14:paraId="6D4CF1F9" w14:textId="77777777" w:rsidTr="00B324BD">
        <w:tc>
          <w:tcPr>
            <w:tcW w:w="3739" w:type="dxa"/>
          </w:tcPr>
          <w:p w14:paraId="21AE653E" w14:textId="77777777" w:rsidR="000850FC" w:rsidRPr="00F462A7" w:rsidRDefault="000850FC" w:rsidP="00B324BD">
            <w:pPr>
              <w:spacing w:line="240" w:lineRule="auto"/>
              <w:jc w:val="left"/>
              <w:rPr>
                <w:rFonts w:cs="Times New Roman"/>
                <w:lang w:val="es-ES"/>
              </w:rPr>
            </w:pPr>
            <w:r w:rsidRPr="00F462A7">
              <w:rPr>
                <w:rFonts w:cs="Times New Roman"/>
                <w:lang w:val="es-ES"/>
              </w:rPr>
              <w:t>U</w:t>
            </w:r>
            <w:r>
              <w:rPr>
                <w:rFonts w:cs="Times New Roman"/>
                <w:lang w:val="es-ES"/>
              </w:rPr>
              <w:t>niversidad Autónoma de Tamaulipas (U</w:t>
            </w:r>
            <w:r w:rsidRPr="00F462A7">
              <w:rPr>
                <w:rFonts w:cs="Times New Roman"/>
                <w:lang w:val="es-ES"/>
              </w:rPr>
              <w:t>AT</w:t>
            </w:r>
            <w:r>
              <w:rPr>
                <w:rFonts w:cs="Times New Roman"/>
                <w:lang w:val="es-ES"/>
              </w:rPr>
              <w:t>)</w:t>
            </w:r>
          </w:p>
        </w:tc>
        <w:tc>
          <w:tcPr>
            <w:tcW w:w="1028" w:type="dxa"/>
          </w:tcPr>
          <w:p w14:paraId="3A6EB91D" w14:textId="77777777" w:rsidR="000850FC" w:rsidRDefault="000850FC" w:rsidP="00B324BD">
            <w:pPr>
              <w:spacing w:line="240" w:lineRule="auto"/>
              <w:rPr>
                <w:rFonts w:cs="Times New Roman"/>
                <w:lang w:val="es-ES"/>
              </w:rPr>
            </w:pPr>
            <w:r>
              <w:rPr>
                <w:rFonts w:cs="Times New Roman"/>
                <w:lang w:val="es-ES"/>
              </w:rPr>
              <w:t>Noreste</w:t>
            </w:r>
          </w:p>
        </w:tc>
        <w:tc>
          <w:tcPr>
            <w:tcW w:w="3451" w:type="dxa"/>
          </w:tcPr>
          <w:p w14:paraId="44C07336" w14:textId="77777777" w:rsidR="000850FC" w:rsidRPr="009B4B7A" w:rsidRDefault="000850FC" w:rsidP="00B324BD">
            <w:pPr>
              <w:spacing w:line="240" w:lineRule="auto"/>
              <w:jc w:val="left"/>
              <w:rPr>
                <w:rFonts w:cs="Times New Roman"/>
                <w:lang w:val="es-ES"/>
              </w:rPr>
            </w:pPr>
            <w:r w:rsidRPr="009B4B7A">
              <w:rPr>
                <w:rFonts w:cs="Times New Roman"/>
                <w:lang w:val="es-ES_tradnl"/>
              </w:rPr>
              <w:t xml:space="preserve">Maestría en Tecnología Educativa y el </w:t>
            </w:r>
            <w:r w:rsidR="00B324BD">
              <w:rPr>
                <w:rFonts w:cs="Times New Roman"/>
                <w:lang w:val="es-ES_tradnl"/>
              </w:rPr>
              <w:t>d</w:t>
            </w:r>
            <w:r w:rsidRPr="009B4B7A">
              <w:rPr>
                <w:rFonts w:cs="Times New Roman"/>
                <w:lang w:val="es-ES_tradnl"/>
              </w:rPr>
              <w:t>octorado en Educación Internacional</w:t>
            </w:r>
          </w:p>
        </w:tc>
        <w:tc>
          <w:tcPr>
            <w:tcW w:w="1176" w:type="dxa"/>
          </w:tcPr>
          <w:p w14:paraId="2610CB1E" w14:textId="77777777" w:rsidR="000850FC" w:rsidRPr="009B4B7A" w:rsidRDefault="000850FC" w:rsidP="00B324BD">
            <w:pPr>
              <w:spacing w:line="240" w:lineRule="auto"/>
              <w:jc w:val="right"/>
              <w:rPr>
                <w:rFonts w:cs="Times New Roman"/>
                <w:lang w:val="es-ES"/>
              </w:rPr>
            </w:pPr>
            <w:r>
              <w:rPr>
                <w:rFonts w:cs="Times New Roman"/>
                <w:lang w:val="es-ES"/>
              </w:rPr>
              <w:t>18</w:t>
            </w:r>
          </w:p>
        </w:tc>
      </w:tr>
      <w:tr w:rsidR="000850FC" w:rsidRPr="009B4B7A" w14:paraId="47E4A289" w14:textId="77777777" w:rsidTr="00B324BD">
        <w:tc>
          <w:tcPr>
            <w:tcW w:w="3739" w:type="dxa"/>
          </w:tcPr>
          <w:p w14:paraId="3BEBC083" w14:textId="77777777" w:rsidR="000850FC" w:rsidRPr="00F462A7" w:rsidRDefault="000850FC" w:rsidP="00B324BD">
            <w:pPr>
              <w:rPr>
                <w:rFonts w:cs="Times New Roman"/>
                <w:lang w:val="es-ES"/>
              </w:rPr>
            </w:pPr>
            <w:r w:rsidRPr="00F462A7">
              <w:rPr>
                <w:rFonts w:cs="Times New Roman"/>
                <w:lang w:val="es-ES"/>
              </w:rPr>
              <w:t>U</w:t>
            </w:r>
            <w:r>
              <w:rPr>
                <w:rFonts w:cs="Times New Roman"/>
                <w:lang w:val="es-ES"/>
              </w:rPr>
              <w:t>niversidad Veracruzana (U</w:t>
            </w:r>
            <w:r w:rsidRPr="00F462A7">
              <w:rPr>
                <w:rFonts w:cs="Times New Roman"/>
                <w:lang w:val="es-ES"/>
              </w:rPr>
              <w:t>V</w:t>
            </w:r>
            <w:r>
              <w:rPr>
                <w:rFonts w:cs="Times New Roman"/>
                <w:lang w:val="es-ES"/>
              </w:rPr>
              <w:t>)</w:t>
            </w:r>
          </w:p>
        </w:tc>
        <w:tc>
          <w:tcPr>
            <w:tcW w:w="1028" w:type="dxa"/>
          </w:tcPr>
          <w:p w14:paraId="5E454086" w14:textId="77777777" w:rsidR="000850FC" w:rsidRDefault="000850FC" w:rsidP="00B324BD">
            <w:pPr>
              <w:rPr>
                <w:rFonts w:cs="Times New Roman"/>
                <w:lang w:val="es-ES"/>
              </w:rPr>
            </w:pPr>
            <w:r>
              <w:rPr>
                <w:rFonts w:cs="Times New Roman"/>
                <w:lang w:val="es-ES"/>
              </w:rPr>
              <w:t xml:space="preserve">Sureste </w:t>
            </w:r>
          </w:p>
        </w:tc>
        <w:tc>
          <w:tcPr>
            <w:tcW w:w="3451" w:type="dxa"/>
          </w:tcPr>
          <w:p w14:paraId="21C933D7" w14:textId="77777777" w:rsidR="000850FC" w:rsidRPr="009B4B7A" w:rsidRDefault="000850FC" w:rsidP="00B324BD">
            <w:pPr>
              <w:spacing w:line="240" w:lineRule="auto"/>
              <w:jc w:val="left"/>
              <w:rPr>
                <w:rFonts w:cs="Times New Roman"/>
                <w:lang w:val="es-ES"/>
              </w:rPr>
            </w:pPr>
            <w:r w:rsidRPr="009B4B7A">
              <w:rPr>
                <w:rFonts w:cs="Times New Roman"/>
                <w:lang w:val="es-ES_tradnl"/>
              </w:rPr>
              <w:t>Licenciatura en Educación Artística</w:t>
            </w:r>
          </w:p>
        </w:tc>
        <w:tc>
          <w:tcPr>
            <w:tcW w:w="1176" w:type="dxa"/>
          </w:tcPr>
          <w:p w14:paraId="3ED68CCE" w14:textId="77777777" w:rsidR="000850FC" w:rsidRPr="009B4B7A" w:rsidRDefault="000850FC" w:rsidP="00B324BD">
            <w:pPr>
              <w:jc w:val="right"/>
              <w:rPr>
                <w:rFonts w:cs="Times New Roman"/>
                <w:lang w:val="es-ES"/>
              </w:rPr>
            </w:pPr>
            <w:r>
              <w:rPr>
                <w:rFonts w:cs="Times New Roman"/>
                <w:lang w:val="es-ES"/>
              </w:rPr>
              <w:t>17</w:t>
            </w:r>
          </w:p>
        </w:tc>
      </w:tr>
    </w:tbl>
    <w:p w14:paraId="293C4A99" w14:textId="77777777" w:rsidR="000850FC" w:rsidRPr="00ED6DA0" w:rsidRDefault="000850FC" w:rsidP="000850FC">
      <w:pPr>
        <w:jc w:val="center"/>
      </w:pPr>
      <w:r w:rsidRPr="00ED6DA0">
        <w:t xml:space="preserve">Fuente: Elaboración propia </w:t>
      </w:r>
    </w:p>
    <w:p w14:paraId="0906877B" w14:textId="77777777" w:rsidR="000850FC" w:rsidRPr="009136EC" w:rsidRDefault="000850FC" w:rsidP="000850FC">
      <w:pPr>
        <w:rPr>
          <w:rFonts w:cs="Times New Roman"/>
        </w:rPr>
      </w:pPr>
    </w:p>
    <w:p w14:paraId="5A88407D" w14:textId="77777777" w:rsidR="000850FC" w:rsidRPr="0029590A" w:rsidRDefault="000850FC" w:rsidP="000850FC">
      <w:pPr>
        <w:jc w:val="center"/>
        <w:rPr>
          <w:rFonts w:cs="Times New Roman"/>
          <w:b/>
          <w:sz w:val="28"/>
          <w:szCs w:val="28"/>
        </w:rPr>
      </w:pPr>
      <w:r w:rsidRPr="0029590A">
        <w:rPr>
          <w:rFonts w:cs="Times New Roman"/>
          <w:b/>
          <w:sz w:val="28"/>
          <w:szCs w:val="28"/>
        </w:rPr>
        <w:t>Variables de estudio</w:t>
      </w:r>
    </w:p>
    <w:p w14:paraId="381EEE33" w14:textId="49D892FF" w:rsidR="000850FC" w:rsidRDefault="000850FC" w:rsidP="00B324BD">
      <w:pPr>
        <w:ind w:firstLine="708"/>
        <w:rPr>
          <w:rFonts w:cs="Times New Roman"/>
          <w:lang w:val="es-ES_tradnl"/>
        </w:rPr>
      </w:pPr>
      <w:r w:rsidRPr="00922F2E">
        <w:rPr>
          <w:rFonts w:cs="Times New Roman"/>
        </w:rPr>
        <w:t xml:space="preserve">Para obtener las percepciones de los estudiantes, </w:t>
      </w:r>
      <w:r>
        <w:rPr>
          <w:rFonts w:cs="Times New Roman"/>
        </w:rPr>
        <w:t>como fase inicial se diseñó un modelo de competencias para la docencia en línea</w:t>
      </w:r>
      <w:r w:rsidRPr="00922F2E">
        <w:rPr>
          <w:rFonts w:cs="Times New Roman"/>
        </w:rPr>
        <w:t xml:space="preserve"> con base en la homologación de roles propuestos </w:t>
      </w:r>
      <w:r w:rsidRPr="00922F2E">
        <w:rPr>
          <w:rFonts w:cs="Times New Roman"/>
          <w:lang w:val="es-ES_tradnl"/>
        </w:rPr>
        <w:t>por</w:t>
      </w:r>
      <w:r>
        <w:rPr>
          <w:rFonts w:cs="Times New Roman"/>
          <w:lang w:val="es-ES_tradnl"/>
        </w:rPr>
        <w:t xml:space="preserve"> </w:t>
      </w:r>
      <w:proofErr w:type="spellStart"/>
      <w:r>
        <w:rPr>
          <w:rFonts w:cs="Times New Roman"/>
          <w:lang w:val="es-ES_tradnl"/>
        </w:rPr>
        <w:t>Berge</w:t>
      </w:r>
      <w:proofErr w:type="spellEnd"/>
      <w:r w:rsidRPr="00922F2E">
        <w:rPr>
          <w:rFonts w:cs="Times New Roman"/>
          <w:lang w:val="es-ES_tradnl"/>
        </w:rPr>
        <w:t xml:space="preserve"> </w:t>
      </w:r>
      <w:r>
        <w:rPr>
          <w:rFonts w:cs="Times New Roman"/>
          <w:lang w:val="es-ES_tradnl"/>
        </w:rPr>
        <w:fldChar w:fldCharType="begin"/>
      </w:r>
      <w:r>
        <w:rPr>
          <w:rFonts w:cs="Times New Roman"/>
          <w:lang w:val="es-ES_tradnl"/>
        </w:rPr>
        <w:instrText xml:space="preserve"> ADDIN ZOTERO_ITEM CSL_CITATION {"citationID":"Q0N6FYeo","properties":{"formattedCitation":"(1995)","plainCitation":"(1995)","noteIndex":0},"citationItems":[{"id":"jSIoxcVM/vBsxi3Rz","uris":["http://zotero.org/users/local/tvKJQPKe/items/WSKR27YS"],"uri":["http://zotero.org/users/local/tvKJQPKe/items/WSKR27YS"],"itemData":{"id":"S8AXKFiM/EzVbXfSc","type":"webpage","title":"The Role of the Online Instructor/Facilitator","URL":"http://www.cordonline.net/mntutorial2/module_2/Reading%202-1%20instructor%20role.pdf","author":[{"family":"Berge","given":"Z"}],"issued":{"date-parts":[["1995"]]},"accessed":{"date-parts":[["2010",1,30]]}},"suppress-author":true}],"schema":"https://github.com/citation-style-language/schema/raw/master/csl-citation.json"} </w:instrText>
      </w:r>
      <w:r>
        <w:rPr>
          <w:rFonts w:cs="Times New Roman"/>
          <w:lang w:val="es-ES_tradnl"/>
        </w:rPr>
        <w:fldChar w:fldCharType="separate"/>
      </w:r>
      <w:r>
        <w:rPr>
          <w:rFonts w:cs="Times New Roman"/>
          <w:noProof/>
          <w:lang w:val="es-ES_tradnl"/>
        </w:rPr>
        <w:t>(1995)</w:t>
      </w:r>
      <w:r>
        <w:rPr>
          <w:rFonts w:cs="Times New Roman"/>
          <w:lang w:val="es-ES_tradnl"/>
        </w:rPr>
        <w:fldChar w:fldCharType="end"/>
      </w:r>
      <w:r w:rsidRPr="00922F2E">
        <w:rPr>
          <w:rFonts w:cs="Times New Roman"/>
          <w:lang w:val="es-ES_tradnl"/>
        </w:rPr>
        <w:t xml:space="preserve"> y</w:t>
      </w:r>
      <w:r>
        <w:rPr>
          <w:rFonts w:cs="Times New Roman"/>
          <w:lang w:val="es-ES_tradnl"/>
        </w:rPr>
        <w:t xml:space="preserve"> Paulsen</w:t>
      </w:r>
      <w:r w:rsidRPr="00922F2E">
        <w:rPr>
          <w:rFonts w:cs="Times New Roman"/>
          <w:lang w:val="es-ES_tradnl"/>
        </w:rPr>
        <w:t xml:space="preserve"> </w:t>
      </w:r>
      <w:r>
        <w:rPr>
          <w:rFonts w:cs="Times New Roman"/>
          <w:lang w:val="es-ES_tradnl"/>
        </w:rPr>
        <w:fldChar w:fldCharType="begin"/>
      </w:r>
      <w:r>
        <w:rPr>
          <w:rFonts w:cs="Times New Roman"/>
          <w:lang w:val="es-ES_tradnl"/>
        </w:rPr>
        <w:instrText xml:space="preserve"> ADDIN ZOTERO_ITEM CSL_CITATION {"citationID":"WHCwmvZB","properties":{"formattedCitation":"(1995)","plainCitation":"(1995)","noteIndex":0},"citationItems":[{"id":45,"uris":["http://zotero.org/users/local/tvKJQPKe/items/5JS5GTMH"],"uri":["http://zotero.org/users/local/tvKJQPKe/items/5JS5GTMH"],"itemData":{"id":45,"type":"book","event-place":"Oslo","ISBN":"82-562-3690-6","publisher":"NKI Oslo, Norway","publisher-place":"Oslo","title":"The online report on pedagogical techniques for computer-mediated communication","URL":"http://paedpsych.jk.uni-linz.ac.at/PAEDPSYCH/NETSCHULE/NETSCHULELITERATUR/Paulsen95.html","author":[{"family":"Paulsen","given":"Morton Flate"}],"accessed":{"date-parts":[["2020",4,1]]},"issued":{"date-parts":[["1995"]]}},"suppress-author":true}],"schema":"https://github.com/citation-style-language/schema/raw/master/csl-citation.json"} </w:instrText>
      </w:r>
      <w:r>
        <w:rPr>
          <w:rFonts w:cs="Times New Roman"/>
          <w:lang w:val="es-ES_tradnl"/>
        </w:rPr>
        <w:fldChar w:fldCharType="separate"/>
      </w:r>
      <w:r>
        <w:rPr>
          <w:rFonts w:cs="Times New Roman"/>
          <w:noProof/>
          <w:lang w:val="es-ES_tradnl"/>
        </w:rPr>
        <w:t>(1995)</w:t>
      </w:r>
      <w:r>
        <w:rPr>
          <w:rFonts w:cs="Times New Roman"/>
          <w:lang w:val="es-ES_tradnl"/>
        </w:rPr>
        <w:fldChar w:fldCharType="end"/>
      </w:r>
      <w:r w:rsidRPr="00922F2E">
        <w:rPr>
          <w:rFonts w:cs="Times New Roman"/>
          <w:lang w:val="es-ES_tradnl"/>
        </w:rPr>
        <w:t xml:space="preserve">, </w:t>
      </w:r>
      <w:r w:rsidR="00B324BD">
        <w:rPr>
          <w:rFonts w:cs="Times New Roman"/>
          <w:lang w:val="es-ES_tradnl"/>
        </w:rPr>
        <w:t xml:space="preserve">por lo que se consideró </w:t>
      </w:r>
      <w:r w:rsidRPr="00922F2E">
        <w:rPr>
          <w:rFonts w:cs="Times New Roman"/>
          <w:lang w:val="es-ES_tradnl"/>
        </w:rPr>
        <w:t xml:space="preserve">cada rol como una competencia específica que el docente el línea </w:t>
      </w:r>
      <w:r>
        <w:rPr>
          <w:rFonts w:cs="Times New Roman"/>
          <w:lang w:val="es-ES_tradnl"/>
        </w:rPr>
        <w:t>necesita</w:t>
      </w:r>
      <w:r w:rsidRPr="00922F2E">
        <w:rPr>
          <w:rFonts w:cs="Times New Roman"/>
          <w:lang w:val="es-ES_tradnl"/>
        </w:rPr>
        <w:t xml:space="preserve"> para su práctica; desde esta perspectiva, cada aspecto que se requiere desarrollar para cumplir efectivamente un rol se tradujo en un elemento de la competencia asociada al rol</w:t>
      </w:r>
      <w:r>
        <w:rPr>
          <w:rFonts w:cs="Times New Roman"/>
          <w:lang w:val="es-ES_tradnl"/>
        </w:rPr>
        <w:t xml:space="preserve"> </w:t>
      </w:r>
      <w:r>
        <w:rPr>
          <w:rFonts w:cs="Times New Roman"/>
          <w:lang w:val="es-ES_tradnl"/>
        </w:rPr>
        <w:fldChar w:fldCharType="begin"/>
      </w:r>
      <w:r>
        <w:rPr>
          <w:rFonts w:cs="Times New Roman"/>
          <w:lang w:val="es-ES_tradnl"/>
        </w:rPr>
        <w:instrText xml:space="preserve"> ADDIN ZOTERO_ITEM CSL_CITATION {"citationID":"koA9MwI0","properties":{"formattedCitation":"(Dom\\uc0\\u237{}nguez-Gonz\\uc0\\u225{}lez et\\uc0\\u160{}al., 2010)","plainCitation":"(Domínguez-González et al., 2010)","noteIndex":0},"citationItems":[{"id":46,"uris":["http://zotero.org/users/local/tvKJQPKe/items/Z7AAKC4V"],"uri":["http://zotero.org/users/local/tvKJQPKe/items/Z7AAKC4V"],"itemData":{"id":46,"type":"paper-conference","container-title":"Proceedings of the ICERI 2010 Conference","title":"Competencies needed in online teaching in Mexico","URL":"https://scholar.google.com/scholar?hl=es&amp;as_sdt=0%2C5&amp;q=competencies+for+online+teaching+in+mexico+2010%2Bgonzalez&amp;btnG=","author":[{"family":"Domínguez-González","given":"N"},{"family":"Limón","given":"O Hernández"},{"family":"Limón","given":"C Hernández"}],"accessed":{"date-parts":[["2020",4,5]]},"issued":{"date-parts":[["2010"]]}}}],"schema":"https://github.com/citation-style-language/schema/raw/master/csl-citation.json"} </w:instrText>
      </w:r>
      <w:r>
        <w:rPr>
          <w:rFonts w:cs="Times New Roman"/>
          <w:lang w:val="es-ES_tradnl"/>
        </w:rPr>
        <w:fldChar w:fldCharType="separate"/>
      </w:r>
      <w:r w:rsidRPr="00205EFD">
        <w:rPr>
          <w:rFonts w:cs="Times New Roman"/>
          <w:lang w:val="es-ES_tradnl"/>
        </w:rPr>
        <w:t xml:space="preserve">(Domínguez-González </w:t>
      </w:r>
      <w:r w:rsidRPr="00B324BD">
        <w:rPr>
          <w:rFonts w:cs="Times New Roman"/>
          <w:i/>
          <w:lang w:val="es-ES_tradnl"/>
        </w:rPr>
        <w:t>et al</w:t>
      </w:r>
      <w:r w:rsidRPr="00205EFD">
        <w:rPr>
          <w:rFonts w:cs="Times New Roman"/>
          <w:lang w:val="es-ES_tradnl"/>
        </w:rPr>
        <w:t>., 2010)</w:t>
      </w:r>
      <w:r>
        <w:rPr>
          <w:rFonts w:cs="Times New Roman"/>
          <w:lang w:val="es-ES_tradnl"/>
        </w:rPr>
        <w:fldChar w:fldCharType="end"/>
      </w:r>
      <w:r w:rsidRPr="00922F2E">
        <w:rPr>
          <w:rFonts w:cs="Times New Roman"/>
          <w:lang w:val="es-ES_tradnl"/>
        </w:rPr>
        <w:t>.</w:t>
      </w:r>
      <w:r>
        <w:rPr>
          <w:rFonts w:cs="Times New Roman"/>
          <w:lang w:val="es-ES_tradnl"/>
        </w:rPr>
        <w:t xml:space="preserve"> Se </w:t>
      </w:r>
      <w:r w:rsidR="00B324BD">
        <w:rPr>
          <w:rFonts w:cs="Times New Roman"/>
          <w:lang w:val="es-ES_tradnl"/>
        </w:rPr>
        <w:t>estimó</w:t>
      </w:r>
      <w:r>
        <w:rPr>
          <w:rFonts w:cs="Times New Roman"/>
          <w:lang w:val="es-ES_tradnl"/>
        </w:rPr>
        <w:t xml:space="preserve"> pertinente esta propuesta porque contempla el trabajo docente con una visión integral de todos los r</w:t>
      </w:r>
      <w:r w:rsidR="00B324BD">
        <w:rPr>
          <w:rFonts w:cs="Times New Roman"/>
          <w:lang w:val="es-ES_tradnl"/>
        </w:rPr>
        <w:t xml:space="preserve">oles que debe desempeñar, y no </w:t>
      </w:r>
      <w:r w:rsidR="004950D3">
        <w:rPr>
          <w:rFonts w:cs="Times New Roman"/>
          <w:lang w:val="es-ES_tradnl"/>
        </w:rPr>
        <w:t>únicamente</w:t>
      </w:r>
      <w:r>
        <w:rPr>
          <w:rFonts w:cs="Times New Roman"/>
          <w:lang w:val="es-ES_tradnl"/>
        </w:rPr>
        <w:t xml:space="preserve"> desde la perspectiva tecnológica que toman la mayoría de los enfoques, incluyendo la visión compartida por la Unesco </w:t>
      </w:r>
      <w:r>
        <w:rPr>
          <w:rFonts w:cs="Times New Roman"/>
          <w:lang w:val="es-ES_tradnl"/>
        </w:rPr>
        <w:fldChar w:fldCharType="begin"/>
      </w:r>
      <w:r>
        <w:rPr>
          <w:rFonts w:cs="Times New Roman"/>
          <w:lang w:val="es-ES_tradnl"/>
        </w:rPr>
        <w:instrText xml:space="preserve"> ADDIN ZOTERO_ITEM CSL_CITATION {"citationID":"LHxZQiMO","properties":{"formattedCitation":"(Valencia-Molina et\\uc0\\u160{}al., 2016)","plainCitation":"(Valencia-Molina et al., 2016)","noteIndex":0},"citationItems":[{"id":30,"uris":["http://zotero.org/users/local/tvKJQPKe/items/CQX6J6ZH"],"uri":["http://zotero.org/users/local/tvKJQPKe/items/CQX6J6ZH"],"itemData":{"id":30,"type":"article-journal","abstract":"La propuesta de formación basada en Competencias y Estándares TIC (Tecnologías de la Información y la Comunicación) desde la Dimensión Pedagógica que se expone en este documento se fundamenta en el diálogo permanente entre experiencias de investigación y formación docente alrededor del uso reflexivo de las TIC. El desafío más grande de esta propuesta de formación es transcender el uso de las TIC y centrarse en la práctica docente como el proceso más importante a transformar. El propósito de esta propuesta es aportar en la visión de la formación de calidad que un docente en la actualidad debe tener para enfrentar el desafío de enseñar en una sociedad de la información y el \n conocimiento. Este pretende ser un referente de formación para el mejoramiento de la calidad educativa en instituciones educativas en cualquier nivel de formación, desde un abordaje de niveles de apropiación de las TIC y sus usos educativos. En este documento se describen los elementos contextuales en donde se encuentra enmarcada la propuesta; se presenta el modelo de Competencias y Estándares TIC desde la dimensión pedagógica basada en niveles de apropiación de las TIC, su sentido y uso a partir de la ruta formativa: Con-TIC-Go, que consta de seis fases; los recursos metodológicos que soportan la ruta formativa y los alcances y límites de la propuesta.","title":"Competencias y estándares TIC desde la dimensión pedagógica: una perspectiva desde los niveles de apropiación de las TIC en la práctica educativa docente","URL":"http://www.unesco.org/new/fileadmin/MULTIMEDIA/FIELD/Santiago/pdf/Competencias-estandares-TIC.pdf","author":[{"family":"Valencia-Molina","given":"Tatiana"},{"family":"Serna-Collazos","given":"Andrea"},{"family":"Ochoa-Angrino","given":"Solanlly"},{"family":"Caicedo-Tamayo","given":"Adriana María"},{"family":"Montes-González","given":"Jairo Andrés"},{"family":"Chávez-Vescance","given":"José David"}],"accessed":{"date-parts":[["2020",4,5]]},"issued":{"date-parts":[["2016"]]}}}],"schema":"https://github.com/citation-style-language/schema/raw/master/csl-citation.json"} </w:instrText>
      </w:r>
      <w:r>
        <w:rPr>
          <w:rFonts w:cs="Times New Roman"/>
          <w:lang w:val="es-ES_tradnl"/>
        </w:rPr>
        <w:fldChar w:fldCharType="separate"/>
      </w:r>
      <w:r w:rsidRPr="00205EFD">
        <w:rPr>
          <w:rFonts w:cs="Times New Roman"/>
          <w:lang w:val="es-ES_tradnl"/>
        </w:rPr>
        <w:t xml:space="preserve">(Valencia-Molina </w:t>
      </w:r>
      <w:r w:rsidRPr="00B324BD">
        <w:rPr>
          <w:rFonts w:cs="Times New Roman"/>
          <w:i/>
          <w:lang w:val="es-ES_tradnl"/>
        </w:rPr>
        <w:t>et al</w:t>
      </w:r>
      <w:r w:rsidRPr="00205EFD">
        <w:rPr>
          <w:rFonts w:cs="Times New Roman"/>
          <w:lang w:val="es-ES_tradnl"/>
        </w:rPr>
        <w:t>., 2016)</w:t>
      </w:r>
      <w:r>
        <w:rPr>
          <w:rFonts w:cs="Times New Roman"/>
          <w:lang w:val="es-ES_tradnl"/>
        </w:rPr>
        <w:fldChar w:fldCharType="end"/>
      </w:r>
      <w:r>
        <w:rPr>
          <w:rFonts w:cs="Times New Roman"/>
          <w:lang w:val="es-ES_tradnl"/>
        </w:rPr>
        <w:t xml:space="preserve">. </w:t>
      </w:r>
      <w:r w:rsidR="00B324BD">
        <w:rPr>
          <w:rFonts w:cs="Times New Roman"/>
          <w:lang w:val="es-ES_tradnl"/>
        </w:rPr>
        <w:t>Por ende, l</w:t>
      </w:r>
      <w:r>
        <w:rPr>
          <w:rFonts w:cs="Times New Roman"/>
          <w:lang w:val="es-ES_tradnl"/>
        </w:rPr>
        <w:t>as</w:t>
      </w:r>
      <w:r w:rsidRPr="00922F2E">
        <w:rPr>
          <w:rFonts w:cs="Times New Roman"/>
          <w:lang w:val="es-ES_tradnl"/>
        </w:rPr>
        <w:t xml:space="preserve"> competencias </w:t>
      </w:r>
      <w:r>
        <w:rPr>
          <w:rFonts w:cs="Times New Roman"/>
          <w:lang w:val="es-ES_tradnl"/>
        </w:rPr>
        <w:t xml:space="preserve">y las variables de estudio </w:t>
      </w:r>
      <w:r w:rsidRPr="00922F2E">
        <w:rPr>
          <w:rFonts w:cs="Times New Roman"/>
          <w:lang w:val="es-ES_tradnl"/>
        </w:rPr>
        <w:t xml:space="preserve">se </w:t>
      </w:r>
      <w:r>
        <w:rPr>
          <w:rFonts w:cs="Times New Roman"/>
          <w:lang w:val="es-ES_tradnl"/>
        </w:rPr>
        <w:t xml:space="preserve">definieron </w:t>
      </w:r>
      <w:r w:rsidR="00B324BD">
        <w:rPr>
          <w:rFonts w:cs="Times New Roman"/>
          <w:lang w:val="es-ES_tradnl"/>
        </w:rPr>
        <w:t>así</w:t>
      </w:r>
      <w:r>
        <w:rPr>
          <w:rFonts w:cs="Times New Roman"/>
          <w:lang w:val="es-ES_tradnl"/>
        </w:rPr>
        <w:t>:</w:t>
      </w:r>
    </w:p>
    <w:p w14:paraId="75D1F9B6" w14:textId="77777777" w:rsidR="000850FC" w:rsidRPr="00922F2E" w:rsidRDefault="000850FC" w:rsidP="000850FC">
      <w:pPr>
        <w:pStyle w:val="Prrafodelista"/>
        <w:numPr>
          <w:ilvl w:val="0"/>
          <w:numId w:val="2"/>
        </w:numPr>
        <w:rPr>
          <w:rFonts w:cs="Times New Roman"/>
          <w:lang w:val="es-ES_tradnl"/>
        </w:rPr>
      </w:pPr>
      <w:r w:rsidRPr="00922F2E">
        <w:rPr>
          <w:rFonts w:cs="Times New Roman"/>
          <w:lang w:val="es-ES_tradnl"/>
        </w:rPr>
        <w:t xml:space="preserve">Competencia pedagógica: </w:t>
      </w:r>
      <w:r w:rsidR="00B324BD">
        <w:rPr>
          <w:rFonts w:cs="Times New Roman"/>
          <w:lang w:val="es-ES_tradnl"/>
        </w:rPr>
        <w:t>C</w:t>
      </w:r>
      <w:r w:rsidRPr="00922F2E">
        <w:rPr>
          <w:rFonts w:cs="Times New Roman"/>
          <w:lang w:val="es-ES_tradnl"/>
        </w:rPr>
        <w:t xml:space="preserve">onduce las técnicas y herramientas pedagógicas necesarias para el aprendizaje de los estudiantes de acuerdo </w:t>
      </w:r>
      <w:r w:rsidR="00B324BD">
        <w:rPr>
          <w:rFonts w:cs="Times New Roman"/>
          <w:lang w:val="es-ES_tradnl"/>
        </w:rPr>
        <w:t>con</w:t>
      </w:r>
      <w:r w:rsidRPr="00922F2E">
        <w:rPr>
          <w:rFonts w:cs="Times New Roman"/>
          <w:lang w:val="es-ES_tradnl"/>
        </w:rPr>
        <w:t xml:space="preserve"> las condiciones y características del modelo educativo.</w:t>
      </w:r>
    </w:p>
    <w:p w14:paraId="1365B960" w14:textId="77777777" w:rsidR="000850FC" w:rsidRPr="00922F2E" w:rsidRDefault="000850FC" w:rsidP="000850FC">
      <w:pPr>
        <w:pStyle w:val="Prrafodelista"/>
        <w:numPr>
          <w:ilvl w:val="0"/>
          <w:numId w:val="2"/>
        </w:numPr>
        <w:rPr>
          <w:rFonts w:cs="Times New Roman"/>
          <w:lang w:val="es-ES_tradnl"/>
        </w:rPr>
      </w:pPr>
      <w:r w:rsidRPr="00922F2E">
        <w:rPr>
          <w:rFonts w:cs="Times New Roman"/>
          <w:lang w:val="es-ES_tradnl"/>
        </w:rPr>
        <w:t xml:space="preserve">Competencia </w:t>
      </w:r>
      <w:r w:rsidR="00B324BD">
        <w:rPr>
          <w:rFonts w:cs="Times New Roman"/>
          <w:lang w:val="es-ES_tradnl"/>
        </w:rPr>
        <w:t>s</w:t>
      </w:r>
      <w:r w:rsidRPr="00922F2E">
        <w:rPr>
          <w:rFonts w:cs="Times New Roman"/>
          <w:lang w:val="es-ES_tradnl"/>
        </w:rPr>
        <w:t xml:space="preserve">ocial: </w:t>
      </w:r>
      <w:r w:rsidR="00B324BD">
        <w:rPr>
          <w:rFonts w:cs="Times New Roman"/>
          <w:lang w:val="es-ES_tradnl"/>
        </w:rPr>
        <w:t>D</w:t>
      </w:r>
      <w:r w:rsidRPr="00922F2E">
        <w:rPr>
          <w:rFonts w:cs="Times New Roman"/>
          <w:lang w:val="es-ES_tradnl"/>
        </w:rPr>
        <w:t>iseña estrategias de interacción social en el grupo de aprendizaje para fomentar la cohesión en el grupo.</w:t>
      </w:r>
    </w:p>
    <w:p w14:paraId="40854DE6" w14:textId="77777777" w:rsidR="000850FC" w:rsidRPr="00922F2E" w:rsidRDefault="000850FC" w:rsidP="000850FC">
      <w:pPr>
        <w:pStyle w:val="Prrafodelista"/>
        <w:numPr>
          <w:ilvl w:val="0"/>
          <w:numId w:val="2"/>
        </w:numPr>
        <w:rPr>
          <w:rFonts w:cs="Times New Roman"/>
        </w:rPr>
      </w:pPr>
      <w:r w:rsidRPr="00922F2E">
        <w:rPr>
          <w:rFonts w:cs="Times New Roman"/>
          <w:lang w:val="es-ES_tradnl"/>
        </w:rPr>
        <w:t xml:space="preserve">Competencia </w:t>
      </w:r>
      <w:r w:rsidR="00B324BD" w:rsidRPr="00922F2E">
        <w:rPr>
          <w:rFonts w:cs="Times New Roman"/>
          <w:lang w:val="es-ES_tradnl"/>
        </w:rPr>
        <w:t>organizacional o administrativa</w:t>
      </w:r>
      <w:r w:rsidRPr="00922F2E">
        <w:rPr>
          <w:rFonts w:cs="Times New Roman"/>
          <w:lang w:val="es-ES_tradnl"/>
        </w:rPr>
        <w:t xml:space="preserve">: </w:t>
      </w:r>
      <w:r w:rsidR="00B324BD">
        <w:rPr>
          <w:rFonts w:cs="Times New Roman"/>
          <w:lang w:val="es-ES_tradnl"/>
        </w:rPr>
        <w:t>A</w:t>
      </w:r>
      <w:r w:rsidRPr="00922F2E">
        <w:rPr>
          <w:rFonts w:cs="Times New Roman"/>
          <w:lang w:val="es-ES_tradnl"/>
        </w:rPr>
        <w:t>dministra los recursos didácticos y la comunicación en el curso para la construcción de un espacio virtual adecuado al aprendizaje.</w:t>
      </w:r>
    </w:p>
    <w:p w14:paraId="550A48F8" w14:textId="77777777" w:rsidR="000850FC" w:rsidRPr="00922F2E" w:rsidRDefault="000850FC" w:rsidP="000850FC">
      <w:pPr>
        <w:pStyle w:val="Prrafodelista"/>
        <w:numPr>
          <w:ilvl w:val="0"/>
          <w:numId w:val="2"/>
        </w:numPr>
        <w:rPr>
          <w:rFonts w:cs="Times New Roman"/>
          <w:lang w:val="es-ES_tradnl"/>
        </w:rPr>
      </w:pPr>
      <w:r w:rsidRPr="00922F2E">
        <w:rPr>
          <w:rFonts w:cs="Times New Roman"/>
        </w:rPr>
        <w:lastRenderedPageBreak/>
        <w:t xml:space="preserve">Competencia </w:t>
      </w:r>
      <w:r w:rsidR="00B324BD">
        <w:rPr>
          <w:rFonts w:cs="Times New Roman"/>
        </w:rPr>
        <w:t>t</w:t>
      </w:r>
      <w:r w:rsidRPr="00922F2E">
        <w:rPr>
          <w:rFonts w:cs="Times New Roman"/>
        </w:rPr>
        <w:t xml:space="preserve">ecnológica: </w:t>
      </w:r>
      <w:r w:rsidR="00B324BD">
        <w:rPr>
          <w:rFonts w:cs="Times New Roman"/>
        </w:rPr>
        <w:t>M</w:t>
      </w:r>
      <w:r w:rsidRPr="00922F2E">
        <w:rPr>
          <w:rFonts w:cs="Times New Roman"/>
          <w:lang w:val="es-ES_tradnl"/>
        </w:rPr>
        <w:t xml:space="preserve">aneja las herramientas tecnológicas que requiere la plataforma institucional de acuerdo </w:t>
      </w:r>
      <w:r w:rsidR="00B324BD">
        <w:rPr>
          <w:rFonts w:cs="Times New Roman"/>
          <w:lang w:val="es-ES_tradnl"/>
        </w:rPr>
        <w:t>con el</w:t>
      </w:r>
      <w:r w:rsidRPr="00922F2E">
        <w:rPr>
          <w:rFonts w:cs="Times New Roman"/>
          <w:lang w:val="es-ES_tradnl"/>
        </w:rPr>
        <w:t xml:space="preserve"> plan de estudios del programa.</w:t>
      </w:r>
    </w:p>
    <w:p w14:paraId="069E38D3" w14:textId="77777777" w:rsidR="000850FC" w:rsidRDefault="000850FC" w:rsidP="000850FC">
      <w:pPr>
        <w:pStyle w:val="Prrafodelista"/>
        <w:numPr>
          <w:ilvl w:val="0"/>
          <w:numId w:val="2"/>
        </w:numPr>
        <w:rPr>
          <w:rFonts w:cs="Times New Roman"/>
          <w:lang w:val="es-ES_tradnl"/>
        </w:rPr>
      </w:pPr>
      <w:r w:rsidRPr="00922F2E">
        <w:rPr>
          <w:rFonts w:cs="Times New Roman"/>
          <w:lang w:val="es-ES_tradnl"/>
        </w:rPr>
        <w:t xml:space="preserve">Competencia </w:t>
      </w:r>
      <w:r w:rsidR="00B324BD">
        <w:rPr>
          <w:rFonts w:cs="Times New Roman"/>
          <w:lang w:val="es-ES_tradnl"/>
        </w:rPr>
        <w:t>e</w:t>
      </w:r>
      <w:r w:rsidRPr="00922F2E">
        <w:rPr>
          <w:rFonts w:cs="Times New Roman"/>
          <w:lang w:val="es-ES_tradnl"/>
        </w:rPr>
        <w:t xml:space="preserve">valuativa: </w:t>
      </w:r>
      <w:r w:rsidR="00B324BD">
        <w:rPr>
          <w:rFonts w:cs="Times New Roman"/>
          <w:lang w:val="es-ES_tradnl"/>
        </w:rPr>
        <w:t>D</w:t>
      </w:r>
      <w:r w:rsidRPr="00922F2E">
        <w:rPr>
          <w:rFonts w:cs="Times New Roman"/>
          <w:lang w:val="es-ES_tradnl"/>
        </w:rPr>
        <w:t xml:space="preserve">iseña y aplica las estrategias de evaluación necesarias al curso de acuerdo </w:t>
      </w:r>
      <w:r w:rsidR="00B324BD">
        <w:rPr>
          <w:rFonts w:cs="Times New Roman"/>
          <w:lang w:val="es-ES_tradnl"/>
        </w:rPr>
        <w:t>con</w:t>
      </w:r>
      <w:r w:rsidRPr="00922F2E">
        <w:rPr>
          <w:rFonts w:cs="Times New Roman"/>
          <w:lang w:val="es-ES_tradnl"/>
        </w:rPr>
        <w:t xml:space="preserve"> los contenidos e intencionalidad del programa.</w:t>
      </w:r>
    </w:p>
    <w:p w14:paraId="7EF6AB40" w14:textId="77777777" w:rsidR="000850FC" w:rsidRDefault="000850FC" w:rsidP="000850FC">
      <w:pPr>
        <w:pStyle w:val="Prrafodelista"/>
        <w:rPr>
          <w:rFonts w:cs="Times New Roman"/>
          <w:lang w:val="es-ES_tradnl"/>
        </w:rPr>
      </w:pPr>
    </w:p>
    <w:p w14:paraId="5814A3B8" w14:textId="77777777" w:rsidR="000850FC" w:rsidRPr="0029590A" w:rsidRDefault="000850FC" w:rsidP="000850FC">
      <w:pPr>
        <w:jc w:val="center"/>
        <w:rPr>
          <w:rFonts w:cs="Times New Roman"/>
          <w:b/>
          <w:sz w:val="28"/>
          <w:szCs w:val="28"/>
          <w:lang w:val="es-ES_tradnl"/>
        </w:rPr>
      </w:pPr>
      <w:r w:rsidRPr="0029590A">
        <w:rPr>
          <w:rFonts w:cs="Times New Roman"/>
          <w:b/>
          <w:sz w:val="28"/>
          <w:szCs w:val="28"/>
          <w:lang w:val="es-ES_tradnl"/>
        </w:rPr>
        <w:t>Diseño y validación de instrumentos</w:t>
      </w:r>
      <w:r w:rsidR="00B324BD">
        <w:rPr>
          <w:rFonts w:cs="Times New Roman"/>
          <w:b/>
          <w:sz w:val="28"/>
          <w:szCs w:val="28"/>
          <w:lang w:val="es-ES_tradnl"/>
        </w:rPr>
        <w:t xml:space="preserve"> </w:t>
      </w:r>
    </w:p>
    <w:p w14:paraId="2AD9B238" w14:textId="77777777" w:rsidR="000850FC" w:rsidRDefault="000850FC" w:rsidP="00B324BD">
      <w:pPr>
        <w:ind w:firstLine="708"/>
        <w:rPr>
          <w:rFonts w:cs="Times New Roman"/>
          <w:lang w:val="es-ES_tradnl"/>
        </w:rPr>
      </w:pPr>
      <w:r w:rsidRPr="00FE11B1">
        <w:rPr>
          <w:rFonts w:cs="Times New Roman"/>
          <w:lang w:val="es-ES_tradnl"/>
        </w:rPr>
        <w:t>Convertidas estas competencias en variables de estudio, se requirió la operacionalización de las variables cualitativas en forma categórica para que fueran medibles y cuantificables</w:t>
      </w:r>
      <w:r w:rsidR="00B324BD">
        <w:rPr>
          <w:rFonts w:cs="Times New Roman"/>
          <w:lang w:val="es-ES_tradnl"/>
        </w:rPr>
        <w:t>,</w:t>
      </w:r>
      <w:r w:rsidRPr="00FE11B1">
        <w:rPr>
          <w:rFonts w:cs="Times New Roman"/>
          <w:lang w:val="es-ES_tradnl"/>
        </w:rPr>
        <w:t xml:space="preserve"> dado que son variables que integran una serie de características sobre el desempeño docente, pero no representan una escala de medición numérica; cada categoría es mutuamente excluyente</w:t>
      </w:r>
      <w:r w:rsidR="00B324BD">
        <w:rPr>
          <w:rFonts w:cs="Times New Roman"/>
          <w:lang w:val="es-ES_tradnl"/>
        </w:rPr>
        <w:t>,</w:t>
      </w:r>
      <w:r w:rsidRPr="00FE11B1">
        <w:rPr>
          <w:rFonts w:cs="Times New Roman"/>
          <w:lang w:val="es-ES_tradnl"/>
        </w:rPr>
        <w:t xml:space="preserve"> por lo que se construyó de tal manera que cada una contemplara todas las posibles alternativas de la variable </w:t>
      </w:r>
      <w:r w:rsidRPr="00FE11B1">
        <w:rPr>
          <w:rFonts w:cs="Times New Roman"/>
          <w:lang w:val="es-ES_tradnl"/>
        </w:rPr>
        <w:fldChar w:fldCharType="begin"/>
      </w:r>
      <w:r>
        <w:rPr>
          <w:rFonts w:cs="Times New Roman"/>
          <w:lang w:val="es-ES_tradnl"/>
        </w:rPr>
        <w:instrText xml:space="preserve"> ADDIN ZOTERO_ITEM CSL_CITATION {"citationID":"ee6tDkbs","properties":{"formattedCitation":"(\\uc0\\u193{}vila, 2006)","plainCitation":"(Ávila, 2006)","noteIndex":0},"citationItems":[{"id":48,"uris":["http://zotero.org/users/local/tvKJQPKe/items/7HH9CFSR"],"uri":["http://zotero.org/users/local/tvKJQPKe/items/7HH9CFSR"],"itemData":{"id":48,"type":"book","event-place":"Chihuahua, México","ISBN":"ISBN-10: 84-690-1999-6","number-of-pages":"45-98","publisher":"Eumed.net","publisher-place":"Chihuahua, México","title":"Introducción a la metodología de la Investigación Electrónica","URL":"https://clea.edu.mx/biblioteca/INTRODUCCION%20A%20LA%20METODOLOGIA%20DE%20LA%20INVESTIGACION.pdf","author":[{"family":"Ávila","given":"Héctor Luis"}],"accessed":{"date-parts":[["2020",4,1]]},"issued":{"date-parts":[["2006"]]}}}],"schema":"https://github.com/citation-style-language/schema/raw/master/csl-citation.json"} </w:instrText>
      </w:r>
      <w:r w:rsidRPr="00FE11B1">
        <w:rPr>
          <w:rFonts w:cs="Times New Roman"/>
          <w:lang w:val="es-ES_tradnl"/>
        </w:rPr>
        <w:fldChar w:fldCharType="separate"/>
      </w:r>
      <w:r w:rsidRPr="00205EFD">
        <w:rPr>
          <w:rFonts w:cs="Times New Roman"/>
          <w:lang w:val="es-ES_tradnl"/>
        </w:rPr>
        <w:t>(Ávila, 2006)</w:t>
      </w:r>
      <w:r w:rsidRPr="00FE11B1">
        <w:rPr>
          <w:rFonts w:cs="Times New Roman"/>
          <w:lang w:val="es-ES_tradnl"/>
        </w:rPr>
        <w:fldChar w:fldCharType="end"/>
      </w:r>
      <w:r w:rsidRPr="00FE11B1">
        <w:rPr>
          <w:rFonts w:cs="Times New Roman"/>
          <w:lang w:val="es-ES_tradnl"/>
        </w:rPr>
        <w:t>. De esa operacionalización de las variables se construyeron los 64 ítems que conformaron el instrumento de investigación con una medición en escala de Likert</w:t>
      </w:r>
      <w:r w:rsidR="00B324BD">
        <w:rPr>
          <w:rFonts w:cs="Times New Roman"/>
          <w:lang w:val="es-ES_tradnl"/>
        </w:rPr>
        <w:t>:</w:t>
      </w:r>
      <w:r>
        <w:rPr>
          <w:rFonts w:cs="Times New Roman"/>
          <w:lang w:val="es-ES_tradnl"/>
        </w:rPr>
        <w:t xml:space="preserve"> 16 ítems para medir la competencia pedagógica, 11 </w:t>
      </w:r>
      <w:r w:rsidR="009D51A6">
        <w:rPr>
          <w:rFonts w:cs="Times New Roman"/>
          <w:lang w:val="es-ES_tradnl"/>
        </w:rPr>
        <w:t xml:space="preserve">para </w:t>
      </w:r>
      <w:r>
        <w:rPr>
          <w:rFonts w:cs="Times New Roman"/>
          <w:lang w:val="es-ES_tradnl"/>
        </w:rPr>
        <w:t xml:space="preserve">la social, 16 </w:t>
      </w:r>
      <w:r w:rsidR="009D51A6">
        <w:rPr>
          <w:rFonts w:cs="Times New Roman"/>
          <w:lang w:val="es-ES_tradnl"/>
        </w:rPr>
        <w:t xml:space="preserve">para </w:t>
      </w:r>
      <w:r>
        <w:rPr>
          <w:rFonts w:cs="Times New Roman"/>
          <w:lang w:val="es-ES_tradnl"/>
        </w:rPr>
        <w:t xml:space="preserve">la administrativa, 10 </w:t>
      </w:r>
      <w:r w:rsidR="009D51A6">
        <w:rPr>
          <w:rFonts w:cs="Times New Roman"/>
          <w:lang w:val="es-ES_tradnl"/>
        </w:rPr>
        <w:t xml:space="preserve">para </w:t>
      </w:r>
      <w:r>
        <w:rPr>
          <w:rFonts w:cs="Times New Roman"/>
          <w:lang w:val="es-ES_tradnl"/>
        </w:rPr>
        <w:t xml:space="preserve">la tecnológica y 11 </w:t>
      </w:r>
      <w:r w:rsidR="009D51A6">
        <w:rPr>
          <w:rFonts w:cs="Times New Roman"/>
          <w:lang w:val="es-ES_tradnl"/>
        </w:rPr>
        <w:t xml:space="preserve">para </w:t>
      </w:r>
      <w:r>
        <w:rPr>
          <w:rFonts w:cs="Times New Roman"/>
          <w:lang w:val="es-ES_tradnl"/>
        </w:rPr>
        <w:t>la evaluativa</w:t>
      </w:r>
      <w:r>
        <w:rPr>
          <w:rStyle w:val="Refdenotaalpie"/>
          <w:rFonts w:cs="Times New Roman"/>
          <w:lang w:val="es-ES_tradnl"/>
        </w:rPr>
        <w:footnoteReference w:customMarkFollows="1" w:id="1"/>
        <w:t>*</w:t>
      </w:r>
      <w:r>
        <w:rPr>
          <w:rFonts w:cs="Times New Roman"/>
          <w:lang w:val="es-ES_tradnl"/>
        </w:rPr>
        <w:t>.</w:t>
      </w:r>
    </w:p>
    <w:p w14:paraId="7C96E927" w14:textId="77777777" w:rsidR="000850FC" w:rsidRDefault="000850FC" w:rsidP="000850FC">
      <w:pPr>
        <w:ind w:firstLine="708"/>
        <w:rPr>
          <w:rFonts w:cs="Times New Roman"/>
          <w:lang w:val="es-ES_tradnl"/>
        </w:rPr>
      </w:pPr>
      <w:r>
        <w:rPr>
          <w:rFonts w:cs="Times New Roman"/>
          <w:lang w:val="es-ES_tradnl"/>
        </w:rPr>
        <w:t xml:space="preserve">El instrumento dirigido a estudiantes se validó en contenido por expertos en educación en línea y en competencias, </w:t>
      </w:r>
      <w:r w:rsidR="009D51A6">
        <w:rPr>
          <w:rFonts w:cs="Times New Roman"/>
          <w:lang w:val="es-ES_tradnl"/>
        </w:rPr>
        <w:t xml:space="preserve">y </w:t>
      </w:r>
      <w:r>
        <w:rPr>
          <w:rFonts w:cs="Times New Roman"/>
          <w:lang w:val="es-ES_tradnl"/>
        </w:rPr>
        <w:t xml:space="preserve">un experto en diseño de instrumentos afinó las escalas de medición. Se diseñó en formato digital con </w:t>
      </w:r>
      <w:r w:rsidRPr="009D51A6">
        <w:rPr>
          <w:rFonts w:cs="Times New Roman"/>
          <w:i/>
          <w:lang w:val="es-ES_tradnl"/>
        </w:rPr>
        <w:t>software</w:t>
      </w:r>
      <w:r w:rsidRPr="006401D3">
        <w:rPr>
          <w:rFonts w:cs="Times New Roman"/>
          <w:lang w:val="es-ES_tradnl"/>
        </w:rPr>
        <w:t xml:space="preserve"> de acceso libre PHPESP</w:t>
      </w:r>
      <w:r w:rsidR="009D51A6">
        <w:rPr>
          <w:rFonts w:cs="Times New Roman"/>
          <w:lang w:val="es-ES_tradnl"/>
        </w:rPr>
        <w:t>,</w:t>
      </w:r>
      <w:r w:rsidRPr="006401D3">
        <w:rPr>
          <w:rFonts w:cs="Times New Roman"/>
          <w:lang w:val="es-ES_tradnl"/>
        </w:rPr>
        <w:t xml:space="preserve"> versión 1.8.2</w:t>
      </w:r>
      <w:r>
        <w:rPr>
          <w:rFonts w:cs="Times New Roman"/>
          <w:lang w:val="es-ES_tradnl"/>
        </w:rPr>
        <w:t xml:space="preserve">. Un pilotaje aplicado a una población de 36 sujetos con características similares a la población objetivo permitió tener datos para realizar una prueba </w:t>
      </w:r>
      <w:r w:rsidR="009D51A6">
        <w:rPr>
          <w:rFonts w:cs="Times New Roman"/>
          <w:lang w:val="es-ES_tradnl"/>
        </w:rPr>
        <w:t>a</w:t>
      </w:r>
      <w:r>
        <w:rPr>
          <w:rFonts w:cs="Times New Roman"/>
          <w:lang w:val="es-ES_tradnl"/>
        </w:rPr>
        <w:t xml:space="preserve">lfa de </w:t>
      </w:r>
      <w:proofErr w:type="spellStart"/>
      <w:r>
        <w:rPr>
          <w:rFonts w:cs="Times New Roman"/>
          <w:lang w:val="es-ES_tradnl"/>
        </w:rPr>
        <w:t>Crombach</w:t>
      </w:r>
      <w:proofErr w:type="spellEnd"/>
      <w:r>
        <w:rPr>
          <w:rFonts w:cs="Times New Roman"/>
          <w:lang w:val="es-ES_tradnl"/>
        </w:rPr>
        <w:t xml:space="preserve"> para determinar la confiabilidad del instrumento</w:t>
      </w:r>
      <w:r w:rsidR="009D51A6">
        <w:rPr>
          <w:rFonts w:cs="Times New Roman"/>
          <w:lang w:val="es-ES_tradnl"/>
        </w:rPr>
        <w:t>.</w:t>
      </w:r>
      <w:r>
        <w:rPr>
          <w:rFonts w:cs="Times New Roman"/>
          <w:lang w:val="es-ES_tradnl"/>
        </w:rPr>
        <w:t xml:space="preserve"> </w:t>
      </w:r>
      <w:r w:rsidR="009D51A6">
        <w:rPr>
          <w:rFonts w:cs="Times New Roman"/>
          <w:lang w:val="es-ES_tradnl"/>
        </w:rPr>
        <w:t>L</w:t>
      </w:r>
      <w:r>
        <w:rPr>
          <w:rFonts w:cs="Times New Roman"/>
          <w:lang w:val="es-ES_tradnl"/>
        </w:rPr>
        <w:t>as variables analizadas en conjunto dieron un valor de .948, mientras que el análisis individual por variables obtuvo valores superiores a 80</w:t>
      </w:r>
      <w:r w:rsidR="009D51A6">
        <w:rPr>
          <w:rFonts w:cs="Times New Roman"/>
          <w:lang w:val="es-ES_tradnl"/>
        </w:rPr>
        <w:t xml:space="preserve"> </w:t>
      </w:r>
      <w:r>
        <w:rPr>
          <w:rFonts w:cs="Times New Roman"/>
          <w:lang w:val="es-ES_tradnl"/>
        </w:rPr>
        <w:t>%, por lo que se consideró un nivel de confiabilidad alto (</w:t>
      </w:r>
      <w:r w:rsidR="009D51A6">
        <w:rPr>
          <w:rFonts w:cs="Times New Roman"/>
          <w:lang w:val="es-ES_tradnl"/>
        </w:rPr>
        <w:t>t</w:t>
      </w:r>
      <w:r>
        <w:rPr>
          <w:rFonts w:cs="Times New Roman"/>
          <w:lang w:val="es-ES_tradnl"/>
        </w:rPr>
        <w:t>abla 2).</w:t>
      </w:r>
    </w:p>
    <w:p w14:paraId="447B8311" w14:textId="2BD0EFEB" w:rsidR="000850FC" w:rsidRDefault="000850FC" w:rsidP="000850FC">
      <w:pPr>
        <w:rPr>
          <w:rFonts w:cs="Times New Roman"/>
          <w:lang w:val="es-ES_tradnl"/>
        </w:rPr>
      </w:pPr>
    </w:p>
    <w:p w14:paraId="0990CF89" w14:textId="137660FC" w:rsidR="00727258" w:rsidRDefault="00727258" w:rsidP="000850FC">
      <w:pPr>
        <w:rPr>
          <w:rFonts w:cs="Times New Roman"/>
          <w:lang w:val="es-ES_tradnl"/>
        </w:rPr>
      </w:pPr>
    </w:p>
    <w:p w14:paraId="3F736F73" w14:textId="648AC0D1" w:rsidR="00727258" w:rsidRDefault="00727258" w:rsidP="000850FC">
      <w:pPr>
        <w:rPr>
          <w:rFonts w:cs="Times New Roman"/>
          <w:lang w:val="es-ES_tradnl"/>
        </w:rPr>
      </w:pPr>
    </w:p>
    <w:p w14:paraId="3A1406E4" w14:textId="35375FD5" w:rsidR="00727258" w:rsidRDefault="00727258" w:rsidP="000850FC">
      <w:pPr>
        <w:rPr>
          <w:rFonts w:cs="Times New Roman"/>
          <w:lang w:val="es-ES_tradnl"/>
        </w:rPr>
      </w:pPr>
    </w:p>
    <w:p w14:paraId="2864314B" w14:textId="2D7E86A6" w:rsidR="00727258" w:rsidRDefault="00727258" w:rsidP="000850FC">
      <w:pPr>
        <w:rPr>
          <w:rFonts w:cs="Times New Roman"/>
          <w:lang w:val="es-ES_tradnl"/>
        </w:rPr>
      </w:pPr>
    </w:p>
    <w:p w14:paraId="6A005D80" w14:textId="77B6AF87" w:rsidR="00727258" w:rsidRDefault="00727258" w:rsidP="000850FC">
      <w:pPr>
        <w:rPr>
          <w:rFonts w:cs="Times New Roman"/>
          <w:lang w:val="es-ES_tradnl"/>
        </w:rPr>
      </w:pPr>
    </w:p>
    <w:p w14:paraId="3678C182" w14:textId="7730A23F" w:rsidR="00727258" w:rsidRDefault="00727258" w:rsidP="000850FC">
      <w:pPr>
        <w:rPr>
          <w:rFonts w:cs="Times New Roman"/>
          <w:lang w:val="es-ES_tradnl"/>
        </w:rPr>
      </w:pPr>
    </w:p>
    <w:p w14:paraId="1FCD549B" w14:textId="77777777" w:rsidR="00727258" w:rsidRPr="00BD2500" w:rsidRDefault="00727258" w:rsidP="000850FC">
      <w:pPr>
        <w:rPr>
          <w:rFonts w:cs="Times New Roman"/>
          <w:lang w:val="es-ES_tradnl"/>
        </w:rPr>
      </w:pPr>
    </w:p>
    <w:p w14:paraId="515FED6E" w14:textId="77777777" w:rsidR="000850FC" w:rsidRPr="00ED6DA0" w:rsidRDefault="000850FC" w:rsidP="009D51A6">
      <w:pPr>
        <w:jc w:val="center"/>
        <w:rPr>
          <w:rFonts w:cs="Times New Roman"/>
          <w:lang w:val="es-ES_tradnl"/>
        </w:rPr>
      </w:pPr>
      <w:bookmarkStart w:id="0" w:name="_Toc300909780"/>
      <w:r w:rsidRPr="009D51A6">
        <w:rPr>
          <w:b/>
          <w:lang w:val="es-ES_tradnl"/>
        </w:rPr>
        <w:lastRenderedPageBreak/>
        <w:t>Tabla 2.</w:t>
      </w:r>
      <w:r w:rsidRPr="00BD2500">
        <w:rPr>
          <w:lang w:val="es-ES_tradnl"/>
        </w:rPr>
        <w:t xml:space="preserve"> </w:t>
      </w:r>
      <w:r w:rsidRPr="00ED6DA0">
        <w:t>Análisis de confiabilidad de la prueba piloto</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1441"/>
        <w:gridCol w:w="1444"/>
        <w:gridCol w:w="1444"/>
        <w:gridCol w:w="2883"/>
      </w:tblGrid>
      <w:tr w:rsidR="000850FC" w:rsidRPr="00CF71FB" w14:paraId="3E00BD61" w14:textId="77777777" w:rsidTr="00CF71FB">
        <w:tc>
          <w:tcPr>
            <w:tcW w:w="1536" w:type="dxa"/>
          </w:tcPr>
          <w:p w14:paraId="68246F06" w14:textId="77777777" w:rsidR="000850FC" w:rsidRPr="00CF71FB" w:rsidRDefault="000850FC" w:rsidP="00B324BD">
            <w:pPr>
              <w:jc w:val="center"/>
              <w:rPr>
                <w:szCs w:val="28"/>
              </w:rPr>
            </w:pPr>
            <w:r w:rsidRPr="00CF71FB">
              <w:rPr>
                <w:szCs w:val="28"/>
              </w:rPr>
              <w:t>Dimensión</w:t>
            </w:r>
          </w:p>
        </w:tc>
        <w:tc>
          <w:tcPr>
            <w:tcW w:w="1441" w:type="dxa"/>
          </w:tcPr>
          <w:p w14:paraId="58C41FC1" w14:textId="77777777" w:rsidR="000850FC" w:rsidRPr="00CF71FB" w:rsidRDefault="000850FC" w:rsidP="00B324BD">
            <w:pPr>
              <w:jc w:val="center"/>
              <w:rPr>
                <w:szCs w:val="28"/>
              </w:rPr>
            </w:pPr>
            <w:r w:rsidRPr="00CF71FB">
              <w:rPr>
                <w:szCs w:val="28"/>
              </w:rPr>
              <w:t>Alfa de Cronbach</w:t>
            </w:r>
          </w:p>
        </w:tc>
        <w:tc>
          <w:tcPr>
            <w:tcW w:w="1444" w:type="dxa"/>
          </w:tcPr>
          <w:p w14:paraId="77032280" w14:textId="77777777" w:rsidR="000850FC" w:rsidRPr="00CF71FB" w:rsidRDefault="000850FC" w:rsidP="00B324BD">
            <w:pPr>
              <w:jc w:val="center"/>
              <w:rPr>
                <w:szCs w:val="28"/>
              </w:rPr>
            </w:pPr>
            <w:r w:rsidRPr="00CF71FB">
              <w:rPr>
                <w:szCs w:val="28"/>
              </w:rPr>
              <w:t>Ítems sujetos a eliminación</w:t>
            </w:r>
          </w:p>
        </w:tc>
        <w:tc>
          <w:tcPr>
            <w:tcW w:w="1444" w:type="dxa"/>
          </w:tcPr>
          <w:p w14:paraId="4E4F7E36" w14:textId="77777777" w:rsidR="000850FC" w:rsidRPr="00CF71FB" w:rsidRDefault="000850FC" w:rsidP="00B324BD">
            <w:pPr>
              <w:jc w:val="center"/>
              <w:rPr>
                <w:szCs w:val="28"/>
              </w:rPr>
            </w:pPr>
            <w:r w:rsidRPr="00CF71FB">
              <w:rPr>
                <w:szCs w:val="28"/>
              </w:rPr>
              <w:t>Correlación del ítem</w:t>
            </w:r>
          </w:p>
        </w:tc>
        <w:tc>
          <w:tcPr>
            <w:tcW w:w="2883" w:type="dxa"/>
          </w:tcPr>
          <w:p w14:paraId="5AA9C53E" w14:textId="77777777" w:rsidR="000850FC" w:rsidRPr="00CF71FB" w:rsidRDefault="000850FC" w:rsidP="00B324BD">
            <w:pPr>
              <w:jc w:val="center"/>
              <w:rPr>
                <w:szCs w:val="28"/>
              </w:rPr>
            </w:pPr>
            <w:r w:rsidRPr="00CF71FB">
              <w:rPr>
                <w:szCs w:val="28"/>
              </w:rPr>
              <w:t>Alfa de Cronbach con la eliminación</w:t>
            </w:r>
          </w:p>
        </w:tc>
      </w:tr>
      <w:tr w:rsidR="000850FC" w:rsidRPr="00CF71FB" w14:paraId="143D9EDC" w14:textId="77777777" w:rsidTr="00CF71FB">
        <w:tc>
          <w:tcPr>
            <w:tcW w:w="1536" w:type="dxa"/>
          </w:tcPr>
          <w:p w14:paraId="3D6E149F" w14:textId="77777777" w:rsidR="000850FC" w:rsidRPr="00CF71FB" w:rsidRDefault="000850FC" w:rsidP="00B324BD">
            <w:pPr>
              <w:rPr>
                <w:szCs w:val="28"/>
              </w:rPr>
            </w:pPr>
            <w:r w:rsidRPr="00CF71FB">
              <w:rPr>
                <w:szCs w:val="28"/>
              </w:rPr>
              <w:t>Pedagógica</w:t>
            </w:r>
          </w:p>
        </w:tc>
        <w:tc>
          <w:tcPr>
            <w:tcW w:w="1441" w:type="dxa"/>
          </w:tcPr>
          <w:p w14:paraId="4319DE32" w14:textId="77777777" w:rsidR="000850FC" w:rsidRPr="00CF71FB" w:rsidRDefault="000850FC" w:rsidP="00B324BD">
            <w:pPr>
              <w:jc w:val="center"/>
              <w:rPr>
                <w:szCs w:val="28"/>
              </w:rPr>
            </w:pPr>
            <w:r w:rsidRPr="00CF71FB">
              <w:rPr>
                <w:szCs w:val="28"/>
              </w:rPr>
              <w:t>.853</w:t>
            </w:r>
          </w:p>
        </w:tc>
        <w:tc>
          <w:tcPr>
            <w:tcW w:w="1444" w:type="dxa"/>
          </w:tcPr>
          <w:p w14:paraId="526DF41D" w14:textId="77777777" w:rsidR="000850FC" w:rsidRPr="00CF71FB" w:rsidRDefault="000850FC" w:rsidP="00B324BD">
            <w:pPr>
              <w:jc w:val="center"/>
              <w:rPr>
                <w:szCs w:val="28"/>
              </w:rPr>
            </w:pPr>
            <w:r w:rsidRPr="00CF71FB">
              <w:rPr>
                <w:szCs w:val="28"/>
              </w:rPr>
              <w:t>10</w:t>
            </w:r>
          </w:p>
        </w:tc>
        <w:tc>
          <w:tcPr>
            <w:tcW w:w="1444" w:type="dxa"/>
          </w:tcPr>
          <w:p w14:paraId="5F3ACF1B" w14:textId="77777777" w:rsidR="000850FC" w:rsidRPr="00CF71FB" w:rsidRDefault="000850FC" w:rsidP="00B324BD">
            <w:pPr>
              <w:jc w:val="center"/>
              <w:rPr>
                <w:szCs w:val="28"/>
              </w:rPr>
            </w:pPr>
            <w:r w:rsidRPr="00CF71FB">
              <w:rPr>
                <w:szCs w:val="28"/>
              </w:rPr>
              <w:t>.016</w:t>
            </w:r>
          </w:p>
        </w:tc>
        <w:tc>
          <w:tcPr>
            <w:tcW w:w="2883" w:type="dxa"/>
          </w:tcPr>
          <w:p w14:paraId="6E281F17" w14:textId="77777777" w:rsidR="000850FC" w:rsidRPr="00CF71FB" w:rsidRDefault="000850FC" w:rsidP="00B324BD">
            <w:pPr>
              <w:jc w:val="center"/>
              <w:rPr>
                <w:szCs w:val="28"/>
              </w:rPr>
            </w:pPr>
            <w:r w:rsidRPr="00CF71FB">
              <w:rPr>
                <w:szCs w:val="28"/>
              </w:rPr>
              <w:t>.909</w:t>
            </w:r>
          </w:p>
        </w:tc>
      </w:tr>
      <w:tr w:rsidR="000850FC" w:rsidRPr="00CF71FB" w14:paraId="63198468" w14:textId="77777777" w:rsidTr="00CF71FB">
        <w:tc>
          <w:tcPr>
            <w:tcW w:w="1536" w:type="dxa"/>
          </w:tcPr>
          <w:p w14:paraId="1B0407CF" w14:textId="77777777" w:rsidR="000850FC" w:rsidRPr="00CF71FB" w:rsidRDefault="000850FC" w:rsidP="00B324BD">
            <w:pPr>
              <w:rPr>
                <w:szCs w:val="28"/>
              </w:rPr>
            </w:pPr>
            <w:r w:rsidRPr="00CF71FB">
              <w:rPr>
                <w:szCs w:val="28"/>
              </w:rPr>
              <w:t>Social</w:t>
            </w:r>
          </w:p>
        </w:tc>
        <w:tc>
          <w:tcPr>
            <w:tcW w:w="1441" w:type="dxa"/>
          </w:tcPr>
          <w:p w14:paraId="04AC5849" w14:textId="77777777" w:rsidR="000850FC" w:rsidRPr="00CF71FB" w:rsidRDefault="000850FC" w:rsidP="00B324BD">
            <w:pPr>
              <w:jc w:val="center"/>
              <w:rPr>
                <w:szCs w:val="28"/>
              </w:rPr>
            </w:pPr>
            <w:r w:rsidRPr="00CF71FB">
              <w:rPr>
                <w:szCs w:val="28"/>
              </w:rPr>
              <w:t>.905</w:t>
            </w:r>
          </w:p>
        </w:tc>
        <w:tc>
          <w:tcPr>
            <w:tcW w:w="1444" w:type="dxa"/>
          </w:tcPr>
          <w:p w14:paraId="62C391F4" w14:textId="77777777" w:rsidR="000850FC" w:rsidRPr="00CF71FB" w:rsidRDefault="000850FC" w:rsidP="00B324BD">
            <w:pPr>
              <w:jc w:val="center"/>
              <w:rPr>
                <w:szCs w:val="28"/>
              </w:rPr>
            </w:pPr>
            <w:r w:rsidRPr="00CF71FB">
              <w:rPr>
                <w:szCs w:val="28"/>
              </w:rPr>
              <w:t>21</w:t>
            </w:r>
          </w:p>
        </w:tc>
        <w:tc>
          <w:tcPr>
            <w:tcW w:w="1444" w:type="dxa"/>
          </w:tcPr>
          <w:p w14:paraId="03C328A4" w14:textId="77777777" w:rsidR="000850FC" w:rsidRPr="00CF71FB" w:rsidRDefault="000850FC" w:rsidP="00B324BD">
            <w:pPr>
              <w:jc w:val="center"/>
              <w:rPr>
                <w:szCs w:val="28"/>
              </w:rPr>
            </w:pPr>
            <w:r w:rsidRPr="00CF71FB">
              <w:rPr>
                <w:szCs w:val="28"/>
              </w:rPr>
              <w:t>.42</w:t>
            </w:r>
          </w:p>
        </w:tc>
        <w:tc>
          <w:tcPr>
            <w:tcW w:w="2883" w:type="dxa"/>
          </w:tcPr>
          <w:p w14:paraId="70FADDBD" w14:textId="77777777" w:rsidR="000850FC" w:rsidRPr="00CF71FB" w:rsidRDefault="000850FC" w:rsidP="00B324BD">
            <w:pPr>
              <w:jc w:val="center"/>
              <w:rPr>
                <w:szCs w:val="28"/>
              </w:rPr>
            </w:pPr>
            <w:r w:rsidRPr="00CF71FB">
              <w:rPr>
                <w:szCs w:val="28"/>
              </w:rPr>
              <w:t>.911</w:t>
            </w:r>
          </w:p>
        </w:tc>
      </w:tr>
      <w:tr w:rsidR="000850FC" w:rsidRPr="00CF71FB" w14:paraId="5235664B" w14:textId="77777777" w:rsidTr="00CF71FB">
        <w:tc>
          <w:tcPr>
            <w:tcW w:w="1536" w:type="dxa"/>
          </w:tcPr>
          <w:p w14:paraId="64F98795" w14:textId="77777777" w:rsidR="000850FC" w:rsidRPr="00CF71FB" w:rsidRDefault="000850FC" w:rsidP="00B324BD">
            <w:pPr>
              <w:rPr>
                <w:szCs w:val="28"/>
              </w:rPr>
            </w:pPr>
            <w:r w:rsidRPr="00CF71FB">
              <w:rPr>
                <w:szCs w:val="28"/>
              </w:rPr>
              <w:t>Administrativa</w:t>
            </w:r>
          </w:p>
        </w:tc>
        <w:tc>
          <w:tcPr>
            <w:tcW w:w="1441" w:type="dxa"/>
          </w:tcPr>
          <w:p w14:paraId="53D35E5B" w14:textId="77777777" w:rsidR="000850FC" w:rsidRPr="00CF71FB" w:rsidRDefault="000850FC" w:rsidP="00B324BD">
            <w:pPr>
              <w:jc w:val="center"/>
              <w:rPr>
                <w:szCs w:val="28"/>
              </w:rPr>
            </w:pPr>
            <w:r w:rsidRPr="00CF71FB">
              <w:rPr>
                <w:szCs w:val="28"/>
              </w:rPr>
              <w:t>.895</w:t>
            </w:r>
          </w:p>
        </w:tc>
        <w:tc>
          <w:tcPr>
            <w:tcW w:w="1444" w:type="dxa"/>
          </w:tcPr>
          <w:p w14:paraId="6ED7B33B" w14:textId="77777777" w:rsidR="000850FC" w:rsidRPr="00CF71FB" w:rsidRDefault="000850FC" w:rsidP="00B324BD">
            <w:pPr>
              <w:jc w:val="center"/>
              <w:rPr>
                <w:szCs w:val="28"/>
              </w:rPr>
            </w:pPr>
            <w:r w:rsidRPr="00CF71FB">
              <w:rPr>
                <w:szCs w:val="28"/>
              </w:rPr>
              <w:t>38</w:t>
            </w:r>
          </w:p>
        </w:tc>
        <w:tc>
          <w:tcPr>
            <w:tcW w:w="1444" w:type="dxa"/>
          </w:tcPr>
          <w:p w14:paraId="6403C708" w14:textId="77777777" w:rsidR="000850FC" w:rsidRPr="00CF71FB" w:rsidRDefault="000850FC" w:rsidP="00B324BD">
            <w:pPr>
              <w:jc w:val="center"/>
              <w:rPr>
                <w:szCs w:val="28"/>
              </w:rPr>
            </w:pPr>
            <w:r w:rsidRPr="00CF71FB">
              <w:rPr>
                <w:szCs w:val="28"/>
              </w:rPr>
              <w:t>.348</w:t>
            </w:r>
          </w:p>
        </w:tc>
        <w:tc>
          <w:tcPr>
            <w:tcW w:w="2883" w:type="dxa"/>
          </w:tcPr>
          <w:p w14:paraId="7FF76D9F" w14:textId="77777777" w:rsidR="000850FC" w:rsidRPr="00CF71FB" w:rsidRDefault="000850FC" w:rsidP="00B324BD">
            <w:pPr>
              <w:jc w:val="center"/>
              <w:rPr>
                <w:szCs w:val="28"/>
              </w:rPr>
            </w:pPr>
            <w:r w:rsidRPr="00CF71FB">
              <w:rPr>
                <w:szCs w:val="28"/>
              </w:rPr>
              <w:t>.900</w:t>
            </w:r>
          </w:p>
        </w:tc>
      </w:tr>
      <w:tr w:rsidR="000850FC" w:rsidRPr="00CF71FB" w14:paraId="527C146F" w14:textId="77777777" w:rsidTr="00CF71FB">
        <w:tc>
          <w:tcPr>
            <w:tcW w:w="1536" w:type="dxa"/>
          </w:tcPr>
          <w:p w14:paraId="65A23D0F" w14:textId="77777777" w:rsidR="000850FC" w:rsidRPr="00CF71FB" w:rsidRDefault="000850FC" w:rsidP="00B324BD">
            <w:pPr>
              <w:rPr>
                <w:szCs w:val="28"/>
              </w:rPr>
            </w:pPr>
            <w:r w:rsidRPr="00CF71FB">
              <w:rPr>
                <w:szCs w:val="28"/>
              </w:rPr>
              <w:t>Tecnológica</w:t>
            </w:r>
          </w:p>
        </w:tc>
        <w:tc>
          <w:tcPr>
            <w:tcW w:w="1441" w:type="dxa"/>
          </w:tcPr>
          <w:p w14:paraId="1C0D6548" w14:textId="77777777" w:rsidR="000850FC" w:rsidRPr="00CF71FB" w:rsidRDefault="000850FC" w:rsidP="00B324BD">
            <w:pPr>
              <w:jc w:val="center"/>
              <w:rPr>
                <w:szCs w:val="28"/>
              </w:rPr>
            </w:pPr>
            <w:r w:rsidRPr="00CF71FB">
              <w:rPr>
                <w:szCs w:val="28"/>
              </w:rPr>
              <w:t>.838</w:t>
            </w:r>
          </w:p>
        </w:tc>
        <w:tc>
          <w:tcPr>
            <w:tcW w:w="1444" w:type="dxa"/>
          </w:tcPr>
          <w:p w14:paraId="48F34629" w14:textId="77777777" w:rsidR="000850FC" w:rsidRPr="00CF71FB" w:rsidRDefault="000850FC" w:rsidP="00B324BD">
            <w:pPr>
              <w:jc w:val="center"/>
              <w:rPr>
                <w:szCs w:val="28"/>
              </w:rPr>
            </w:pPr>
            <w:r w:rsidRPr="00CF71FB">
              <w:rPr>
                <w:szCs w:val="28"/>
              </w:rPr>
              <w:t>52</w:t>
            </w:r>
          </w:p>
        </w:tc>
        <w:tc>
          <w:tcPr>
            <w:tcW w:w="1444" w:type="dxa"/>
          </w:tcPr>
          <w:p w14:paraId="37D765EA" w14:textId="77777777" w:rsidR="000850FC" w:rsidRPr="00CF71FB" w:rsidRDefault="000850FC" w:rsidP="00B324BD">
            <w:pPr>
              <w:jc w:val="center"/>
              <w:rPr>
                <w:szCs w:val="28"/>
              </w:rPr>
            </w:pPr>
            <w:r w:rsidRPr="00CF71FB">
              <w:rPr>
                <w:szCs w:val="28"/>
              </w:rPr>
              <w:t>.215</w:t>
            </w:r>
          </w:p>
        </w:tc>
        <w:tc>
          <w:tcPr>
            <w:tcW w:w="2883" w:type="dxa"/>
          </w:tcPr>
          <w:p w14:paraId="5D6DA5BC" w14:textId="77777777" w:rsidR="000850FC" w:rsidRPr="00CF71FB" w:rsidRDefault="000850FC" w:rsidP="00B324BD">
            <w:pPr>
              <w:jc w:val="center"/>
              <w:rPr>
                <w:szCs w:val="28"/>
              </w:rPr>
            </w:pPr>
            <w:r w:rsidRPr="00CF71FB">
              <w:rPr>
                <w:szCs w:val="28"/>
              </w:rPr>
              <w:t>.859</w:t>
            </w:r>
          </w:p>
        </w:tc>
      </w:tr>
      <w:tr w:rsidR="000850FC" w:rsidRPr="00CF71FB" w14:paraId="389B170F" w14:textId="77777777" w:rsidTr="00CF71FB">
        <w:tc>
          <w:tcPr>
            <w:tcW w:w="1536" w:type="dxa"/>
          </w:tcPr>
          <w:p w14:paraId="7D28B8D1" w14:textId="77777777" w:rsidR="000850FC" w:rsidRPr="00CF71FB" w:rsidRDefault="000850FC" w:rsidP="00B324BD">
            <w:pPr>
              <w:rPr>
                <w:szCs w:val="28"/>
              </w:rPr>
            </w:pPr>
            <w:r w:rsidRPr="00CF71FB">
              <w:rPr>
                <w:szCs w:val="28"/>
              </w:rPr>
              <w:t>Evaluativa</w:t>
            </w:r>
          </w:p>
        </w:tc>
        <w:tc>
          <w:tcPr>
            <w:tcW w:w="1441" w:type="dxa"/>
          </w:tcPr>
          <w:p w14:paraId="1E47299B" w14:textId="77777777" w:rsidR="000850FC" w:rsidRPr="00CF71FB" w:rsidRDefault="000850FC" w:rsidP="00B324BD">
            <w:pPr>
              <w:jc w:val="center"/>
              <w:rPr>
                <w:szCs w:val="28"/>
              </w:rPr>
            </w:pPr>
            <w:r w:rsidRPr="00CF71FB">
              <w:rPr>
                <w:szCs w:val="28"/>
              </w:rPr>
              <w:t>.879</w:t>
            </w:r>
          </w:p>
        </w:tc>
        <w:tc>
          <w:tcPr>
            <w:tcW w:w="1444" w:type="dxa"/>
          </w:tcPr>
          <w:p w14:paraId="2B13E691" w14:textId="77777777" w:rsidR="000850FC" w:rsidRPr="00CF71FB" w:rsidRDefault="000850FC" w:rsidP="00B324BD">
            <w:pPr>
              <w:jc w:val="center"/>
              <w:rPr>
                <w:szCs w:val="28"/>
              </w:rPr>
            </w:pPr>
            <w:r w:rsidRPr="00CF71FB">
              <w:rPr>
                <w:szCs w:val="28"/>
              </w:rPr>
              <w:t>-</w:t>
            </w:r>
          </w:p>
        </w:tc>
        <w:tc>
          <w:tcPr>
            <w:tcW w:w="1444" w:type="dxa"/>
          </w:tcPr>
          <w:p w14:paraId="3581188D" w14:textId="77777777" w:rsidR="000850FC" w:rsidRPr="00CF71FB" w:rsidRDefault="000850FC" w:rsidP="00B324BD">
            <w:pPr>
              <w:jc w:val="center"/>
              <w:rPr>
                <w:szCs w:val="28"/>
              </w:rPr>
            </w:pPr>
            <w:r w:rsidRPr="00CF71FB">
              <w:rPr>
                <w:szCs w:val="28"/>
              </w:rPr>
              <w:t>-</w:t>
            </w:r>
          </w:p>
        </w:tc>
        <w:tc>
          <w:tcPr>
            <w:tcW w:w="2883" w:type="dxa"/>
          </w:tcPr>
          <w:p w14:paraId="3497A4D4" w14:textId="77777777" w:rsidR="000850FC" w:rsidRPr="00CF71FB" w:rsidRDefault="000850FC" w:rsidP="00B324BD">
            <w:pPr>
              <w:jc w:val="center"/>
              <w:rPr>
                <w:szCs w:val="28"/>
              </w:rPr>
            </w:pPr>
            <w:r w:rsidRPr="00CF71FB">
              <w:rPr>
                <w:szCs w:val="28"/>
              </w:rPr>
              <w:t>-</w:t>
            </w:r>
          </w:p>
        </w:tc>
      </w:tr>
    </w:tbl>
    <w:p w14:paraId="30D05D36" w14:textId="77777777" w:rsidR="000850FC" w:rsidRDefault="000850FC" w:rsidP="000850FC">
      <w:pPr>
        <w:jc w:val="center"/>
        <w:rPr>
          <w:rFonts w:cs="Times New Roman"/>
          <w:lang w:val="es-ES_tradnl"/>
        </w:rPr>
      </w:pPr>
      <w:r>
        <w:rPr>
          <w:rFonts w:cs="Times New Roman"/>
          <w:lang w:val="es-ES_tradnl"/>
        </w:rPr>
        <w:t>Fuente: Elaboración propia</w:t>
      </w:r>
    </w:p>
    <w:p w14:paraId="4494B463" w14:textId="77777777" w:rsidR="000850FC" w:rsidRPr="002A1AFF" w:rsidRDefault="000850FC" w:rsidP="000850FC">
      <w:pPr>
        <w:ind w:firstLine="708"/>
      </w:pPr>
      <w:r>
        <w:t>Un análisis factorial exploratorio de componentes principales aplicado a este conjunto de datos obtenidos con la prueba piloto permitió identificar grupos homogéneos de variables que se correlacionan entre sí con valores superiores a 50</w:t>
      </w:r>
      <w:r w:rsidR="009D51A6">
        <w:t> </w:t>
      </w:r>
      <w:r>
        <w:t xml:space="preserve">% +1 del valor más alto, con lo que </w:t>
      </w:r>
      <w:r w:rsidR="009D51A6">
        <w:t>se pudieron</w:t>
      </w:r>
      <w:r>
        <w:t xml:space="preserve"> identificar también algunas dimensiones o factores que explican gran parte de la información contenida en los datos; estas dimensiones no explícitas en el instrumento permitieron comprender los puntos críticos del interés del alumno sobre el desempeño docente en línea. </w:t>
      </w:r>
      <w:r w:rsidR="009D51A6">
        <w:t xml:space="preserve">Así, </w:t>
      </w:r>
      <w:r>
        <w:t xml:space="preserve">13 </w:t>
      </w:r>
      <w:r w:rsidR="009D51A6">
        <w:t>f</w:t>
      </w:r>
      <w:r>
        <w:t>actores ayudaron a explicar 91.35</w:t>
      </w:r>
      <w:r w:rsidR="009D51A6">
        <w:t> </w:t>
      </w:r>
      <w:r>
        <w:t>% de la varianza observada, de esos factores 6 son los más representativos</w:t>
      </w:r>
      <w:r w:rsidR="009D51A6">
        <w:t>,</w:t>
      </w:r>
      <w:r>
        <w:t xml:space="preserve"> pues explican 66.96 % de la varianza observada.</w:t>
      </w:r>
    </w:p>
    <w:p w14:paraId="17D916A7" w14:textId="77777777" w:rsidR="000850FC" w:rsidRPr="0029590A" w:rsidRDefault="000850FC" w:rsidP="000850FC">
      <w:pPr>
        <w:ind w:firstLine="708"/>
        <w:rPr>
          <w:rFonts w:cs="Times New Roman"/>
          <w:lang w:val="es-ES_tradnl"/>
        </w:rPr>
      </w:pPr>
      <w:r>
        <w:t xml:space="preserve">Se diseñó un formato de entrevista semiestructurada para recopilar información de los directivos o gestores de los programas sobre el apoyo y recursos </w:t>
      </w:r>
      <w:r w:rsidR="009D51A6">
        <w:t>con</w:t>
      </w:r>
      <w:r>
        <w:t xml:space="preserve"> que </w:t>
      </w:r>
      <w:r w:rsidR="009D51A6">
        <w:t>cuentan</w:t>
      </w:r>
      <w:r>
        <w:t xml:space="preserve"> los docentes para ejecutar su función. El instrumento empleado fue validado por expertos, se realizó una prueba piloto para identificar inconsistencias y se ajustó </w:t>
      </w:r>
      <w:r w:rsidR="007C50B5">
        <w:t>según</w:t>
      </w:r>
      <w:r>
        <w:t xml:space="preserve"> los hallazgos.</w:t>
      </w:r>
    </w:p>
    <w:p w14:paraId="7E46D297" w14:textId="77777777" w:rsidR="000850FC" w:rsidRDefault="000850FC" w:rsidP="000850FC">
      <w:pPr>
        <w:rPr>
          <w:rFonts w:cs="Times New Roman"/>
        </w:rPr>
      </w:pPr>
    </w:p>
    <w:p w14:paraId="7E09E775" w14:textId="77777777" w:rsidR="000850FC" w:rsidRPr="0029590A" w:rsidRDefault="000850FC" w:rsidP="000850FC">
      <w:pPr>
        <w:jc w:val="center"/>
        <w:rPr>
          <w:rFonts w:cs="Times New Roman"/>
          <w:b/>
          <w:sz w:val="28"/>
          <w:szCs w:val="28"/>
        </w:rPr>
      </w:pPr>
      <w:r w:rsidRPr="0029590A">
        <w:rPr>
          <w:rFonts w:cs="Times New Roman"/>
          <w:b/>
          <w:sz w:val="28"/>
          <w:szCs w:val="28"/>
        </w:rPr>
        <w:t>Procedimiento de recogida de datos y tratamiento de la información</w:t>
      </w:r>
      <w:r w:rsidR="007C50B5">
        <w:rPr>
          <w:rFonts w:cs="Times New Roman"/>
          <w:b/>
          <w:sz w:val="28"/>
          <w:szCs w:val="28"/>
        </w:rPr>
        <w:t xml:space="preserve"> </w:t>
      </w:r>
    </w:p>
    <w:p w14:paraId="5D017667" w14:textId="4B6241D3" w:rsidR="000850FC" w:rsidRPr="0029590A" w:rsidRDefault="000850FC" w:rsidP="000850FC">
      <w:pPr>
        <w:ind w:firstLine="708"/>
        <w:rPr>
          <w:rFonts w:cs="Times New Roman"/>
        </w:rPr>
      </w:pPr>
      <w:r>
        <w:rPr>
          <w:rFonts w:cs="Times New Roman"/>
        </w:rPr>
        <w:t>Se analizaron los modelos psicopedagógicos operantes en cada universidad por medio de la información obtenida en sus respectivos portales. Posteriormente</w:t>
      </w:r>
      <w:r w:rsidR="007C50B5">
        <w:rPr>
          <w:rFonts w:cs="Times New Roman"/>
        </w:rPr>
        <w:t>,</w:t>
      </w:r>
      <w:r>
        <w:rPr>
          <w:rFonts w:cs="Times New Roman"/>
        </w:rPr>
        <w:t xml:space="preserve"> se aplicó el instrumento en los seis programas elegidos. Se instruyó a los estudiantes para que tomaran como base al docente que consideraban más competente y proced</w:t>
      </w:r>
      <w:r w:rsidR="007C50B5">
        <w:rPr>
          <w:rFonts w:cs="Times New Roman"/>
        </w:rPr>
        <w:t>ieran</w:t>
      </w:r>
      <w:r>
        <w:rPr>
          <w:rFonts w:cs="Times New Roman"/>
        </w:rPr>
        <w:t xml:space="preserve"> a determinar si cubría con alto nivel de desempeño los factores </w:t>
      </w:r>
      <w:r w:rsidR="007C50B5">
        <w:rPr>
          <w:rFonts w:cs="Times New Roman"/>
        </w:rPr>
        <w:t>de</w:t>
      </w:r>
      <w:r>
        <w:rPr>
          <w:rFonts w:cs="Times New Roman"/>
        </w:rPr>
        <w:t xml:space="preserve"> cada competencia. </w:t>
      </w:r>
      <w:r>
        <w:t>Del total de encuestas recibidas se eliminaron aquell</w:t>
      </w:r>
      <w:r w:rsidR="007C50B5">
        <w:t>a</w:t>
      </w:r>
      <w:r>
        <w:t>s que no fueron contestad</w:t>
      </w:r>
      <w:r w:rsidR="007C50B5">
        <w:t>a</w:t>
      </w:r>
      <w:r>
        <w:t xml:space="preserve">s en su totalidad o </w:t>
      </w:r>
      <w:r w:rsidR="007C50B5">
        <w:t>que tuvieron</w:t>
      </w:r>
      <w:r>
        <w:t xml:space="preserve"> un patrón de respuesta inconsistente derivado de la plataforma; de esto se obtuvo un total  de 87 casos de estudio, distribuidos de la siguiente manera: 19 de la UAZ, 18 de la UDG, 18 de la UAT, 17 de la UV, 11 de la UANL y cuatro de la UNAM. </w:t>
      </w:r>
      <w:r>
        <w:lastRenderedPageBreak/>
        <w:t>La información se organizó en una hoja de cálculo</w:t>
      </w:r>
      <w:r w:rsidR="007C50B5">
        <w:t xml:space="preserve"> y</w:t>
      </w:r>
      <w:r>
        <w:t xml:space="preserve"> se recodificaron las variables nominales como </w:t>
      </w:r>
      <w:r w:rsidR="007C50B5">
        <w:t>numéricas</w:t>
      </w:r>
      <w:r>
        <w:t xml:space="preserve">. </w:t>
      </w:r>
    </w:p>
    <w:p w14:paraId="1C2833D9" w14:textId="77777777" w:rsidR="000850FC" w:rsidRDefault="000850FC" w:rsidP="000850FC">
      <w:pPr>
        <w:rPr>
          <w:rFonts w:cs="Times New Roman"/>
          <w:b/>
          <w:lang w:val="es-ES"/>
        </w:rPr>
      </w:pPr>
    </w:p>
    <w:p w14:paraId="4D59CAEC" w14:textId="77777777" w:rsidR="000850FC" w:rsidRPr="0029590A" w:rsidRDefault="000850FC" w:rsidP="000850FC">
      <w:pPr>
        <w:jc w:val="center"/>
        <w:rPr>
          <w:rFonts w:cs="Times New Roman"/>
          <w:b/>
          <w:sz w:val="28"/>
          <w:szCs w:val="28"/>
          <w:lang w:val="es-ES"/>
        </w:rPr>
      </w:pPr>
      <w:r w:rsidRPr="00304F88">
        <w:rPr>
          <w:rFonts w:cs="Times New Roman"/>
          <w:b/>
          <w:sz w:val="28"/>
          <w:szCs w:val="28"/>
          <w:lang w:val="es-ES"/>
        </w:rPr>
        <w:t>Análisis de la información</w:t>
      </w:r>
      <w:r w:rsidR="007C50B5">
        <w:rPr>
          <w:rFonts w:cs="Times New Roman"/>
          <w:b/>
          <w:sz w:val="28"/>
          <w:szCs w:val="28"/>
          <w:lang w:val="es-ES"/>
        </w:rPr>
        <w:t xml:space="preserve"> </w:t>
      </w:r>
    </w:p>
    <w:p w14:paraId="08CA9754" w14:textId="77777777" w:rsidR="000850FC" w:rsidRDefault="000850FC" w:rsidP="007C50B5">
      <w:pPr>
        <w:ind w:firstLine="708"/>
      </w:pPr>
      <w:r>
        <w:t xml:space="preserve">Se analizó la tabla resultante de manera descriptiva con el </w:t>
      </w:r>
      <w:r w:rsidRPr="007C50B5">
        <w:rPr>
          <w:i/>
        </w:rPr>
        <w:t>software</w:t>
      </w:r>
      <w:r>
        <w:t xml:space="preserve"> Statistica v.9.0. Los datos estadísticos descriptivos obtenidos ofrecieron información de las frecuencias, medidas de tendencia central como media, indicadores de dispersión</w:t>
      </w:r>
      <w:r w:rsidR="007C50B5">
        <w:t>,</w:t>
      </w:r>
      <w:r>
        <w:t xml:space="preserve"> desviación estándar, varianza y desviación promedio, además de rango, intercuartil, skewness y curtosis.</w:t>
      </w:r>
    </w:p>
    <w:p w14:paraId="5F1C31F4" w14:textId="77777777" w:rsidR="000850FC" w:rsidRDefault="000850FC" w:rsidP="000850FC">
      <w:pPr>
        <w:ind w:firstLine="708"/>
      </w:pPr>
      <w:r>
        <w:rPr>
          <w:rFonts w:cs="Times New Roman"/>
          <w:lang w:val="es-ES"/>
        </w:rPr>
        <w:t>Se realizó una prueba de confiabilidad por bloque (</w:t>
      </w:r>
      <w:r w:rsidR="007C50B5">
        <w:rPr>
          <w:rFonts w:cs="Times New Roman"/>
          <w:lang w:val="es-ES"/>
        </w:rPr>
        <w:t>t</w:t>
      </w:r>
      <w:r>
        <w:rPr>
          <w:rFonts w:cs="Times New Roman"/>
          <w:lang w:val="es-ES"/>
        </w:rPr>
        <w:t>abla 3) y por secciones del instrumento (</w:t>
      </w:r>
      <w:r w:rsidR="007C50B5">
        <w:rPr>
          <w:rFonts w:cs="Times New Roman"/>
          <w:lang w:val="es-ES"/>
        </w:rPr>
        <w:t>t</w:t>
      </w:r>
      <w:r>
        <w:rPr>
          <w:rFonts w:cs="Times New Roman"/>
          <w:lang w:val="es-ES"/>
        </w:rPr>
        <w:t xml:space="preserve">abla 4) con </w:t>
      </w:r>
      <w:r w:rsidR="007C50B5">
        <w:rPr>
          <w:rFonts w:cs="Times New Roman"/>
          <w:lang w:val="es-ES"/>
        </w:rPr>
        <w:t>a</w:t>
      </w:r>
      <w:r>
        <w:rPr>
          <w:rFonts w:cs="Times New Roman"/>
          <w:lang w:val="es-ES"/>
        </w:rPr>
        <w:t xml:space="preserve">lfa de </w:t>
      </w:r>
      <w:r w:rsidR="007C50B5">
        <w:rPr>
          <w:rFonts w:cs="Times New Roman"/>
          <w:lang w:val="es-ES"/>
        </w:rPr>
        <w:t>Cronbach</w:t>
      </w:r>
      <w:r>
        <w:rPr>
          <w:rFonts w:cs="Times New Roman"/>
          <w:lang w:val="es-ES"/>
        </w:rPr>
        <w:t xml:space="preserve">, </w:t>
      </w:r>
      <w:r w:rsidR="007C50B5">
        <w:rPr>
          <w:rFonts w:cs="Times New Roman"/>
          <w:lang w:val="es-ES"/>
        </w:rPr>
        <w:t xml:space="preserve">y se obtuvieron </w:t>
      </w:r>
      <w:r>
        <w:rPr>
          <w:rFonts w:cs="Times New Roman"/>
          <w:lang w:val="es-ES"/>
        </w:rPr>
        <w:t>resultados de confiabilidad alta</w:t>
      </w:r>
      <w:r w:rsidR="007C50B5">
        <w:rPr>
          <w:rFonts w:cs="Times New Roman"/>
          <w:lang w:val="es-ES"/>
        </w:rPr>
        <w:t>,</w:t>
      </w:r>
      <w:r>
        <w:rPr>
          <w:rFonts w:cs="Times New Roman"/>
          <w:lang w:val="es-ES"/>
        </w:rPr>
        <w:t xml:space="preserve"> superiores a 80</w:t>
      </w:r>
      <w:r w:rsidR="007C50B5">
        <w:rPr>
          <w:rFonts w:cs="Times New Roman"/>
          <w:lang w:val="es-ES"/>
        </w:rPr>
        <w:t xml:space="preserve"> </w:t>
      </w:r>
      <w:r>
        <w:rPr>
          <w:rFonts w:cs="Times New Roman"/>
          <w:lang w:val="es-ES"/>
        </w:rPr>
        <w:t>% y el análisis en bloque aportó un valor de .968, por lo que</w:t>
      </w:r>
      <w:r>
        <w:t xml:space="preserve"> se considera que la información </w:t>
      </w:r>
      <w:r w:rsidR="007C50B5">
        <w:t>conseguida</w:t>
      </w:r>
      <w:r>
        <w:t xml:space="preserve"> a través del instrumento ofrece un buen nivel de confiabilidad en cada competencia de acuerdo </w:t>
      </w:r>
      <w:r w:rsidR="007C50B5">
        <w:t>con el</w:t>
      </w:r>
      <w:r>
        <w:t xml:space="preserve"> objetivo para el que fue creado.</w:t>
      </w:r>
    </w:p>
    <w:p w14:paraId="57B53F92" w14:textId="77777777" w:rsidR="000850FC" w:rsidRDefault="000850FC" w:rsidP="000850FC">
      <w:pPr>
        <w:ind w:firstLine="708"/>
      </w:pPr>
    </w:p>
    <w:p w14:paraId="5F54AD63" w14:textId="77777777" w:rsidR="000850FC" w:rsidRDefault="000850FC" w:rsidP="007C50B5">
      <w:pPr>
        <w:jc w:val="center"/>
      </w:pPr>
      <w:r w:rsidRPr="007C50B5">
        <w:rPr>
          <w:b/>
        </w:rPr>
        <w:t>Tabla 3.</w:t>
      </w:r>
      <w:r w:rsidRPr="00BD2500">
        <w:t xml:space="preserve"> </w:t>
      </w:r>
      <w:r w:rsidR="007C50B5" w:rsidRPr="00ED6DA0">
        <w:t>Análisis</w:t>
      </w:r>
      <w:r w:rsidRPr="00ED6DA0">
        <w:t xml:space="preserve"> de confiabilidad del instrumento completo</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134"/>
        <w:gridCol w:w="1134"/>
        <w:gridCol w:w="1229"/>
        <w:gridCol w:w="1465"/>
        <w:gridCol w:w="1842"/>
      </w:tblGrid>
      <w:tr w:rsidR="000850FC" w14:paraId="1152E555" w14:textId="77777777" w:rsidTr="00CF71FB">
        <w:trPr>
          <w:trHeight w:val="319"/>
          <w:jc w:val="center"/>
        </w:trPr>
        <w:tc>
          <w:tcPr>
            <w:tcW w:w="1242" w:type="dxa"/>
          </w:tcPr>
          <w:p w14:paraId="4E8C97A4" w14:textId="77777777" w:rsidR="000850FC" w:rsidRPr="00F508F9" w:rsidRDefault="000850FC" w:rsidP="00B324BD">
            <w:pPr>
              <w:spacing w:line="240" w:lineRule="auto"/>
              <w:jc w:val="center"/>
              <w:rPr>
                <w:i/>
              </w:rPr>
            </w:pPr>
            <w:r w:rsidRPr="00F508F9">
              <w:rPr>
                <w:lang w:val="en-US"/>
              </w:rPr>
              <w:t>Media</w:t>
            </w:r>
          </w:p>
        </w:tc>
        <w:tc>
          <w:tcPr>
            <w:tcW w:w="1134" w:type="dxa"/>
          </w:tcPr>
          <w:p w14:paraId="02A23EE8" w14:textId="77777777" w:rsidR="000850FC" w:rsidRPr="00F508F9" w:rsidRDefault="000850FC" w:rsidP="00B324BD">
            <w:pPr>
              <w:spacing w:line="240" w:lineRule="auto"/>
              <w:jc w:val="center"/>
              <w:rPr>
                <w:i/>
              </w:rPr>
            </w:pPr>
            <w:proofErr w:type="spellStart"/>
            <w:r w:rsidRPr="00F508F9">
              <w:rPr>
                <w:lang w:val="en-US"/>
              </w:rPr>
              <w:t>Dv</w:t>
            </w:r>
            <w:proofErr w:type="spellEnd"/>
            <w:r w:rsidRPr="00F508F9">
              <w:rPr>
                <w:lang w:val="en-US"/>
              </w:rPr>
              <w:t xml:space="preserve"> Std</w:t>
            </w:r>
          </w:p>
        </w:tc>
        <w:tc>
          <w:tcPr>
            <w:tcW w:w="1134" w:type="dxa"/>
          </w:tcPr>
          <w:p w14:paraId="2553F2F8" w14:textId="77777777" w:rsidR="000850FC" w:rsidRPr="00F508F9" w:rsidRDefault="000850FC" w:rsidP="00B324BD">
            <w:pPr>
              <w:spacing w:line="240" w:lineRule="auto"/>
              <w:jc w:val="center"/>
              <w:rPr>
                <w:i/>
              </w:rPr>
            </w:pPr>
            <w:r w:rsidRPr="00F508F9">
              <w:rPr>
                <w:lang w:val="en-US"/>
              </w:rPr>
              <w:t>Casos</w:t>
            </w:r>
          </w:p>
        </w:tc>
        <w:tc>
          <w:tcPr>
            <w:tcW w:w="1229" w:type="dxa"/>
          </w:tcPr>
          <w:p w14:paraId="209CDFC7" w14:textId="77777777" w:rsidR="000850FC" w:rsidRPr="00F508F9" w:rsidRDefault="000850FC" w:rsidP="00B324BD">
            <w:pPr>
              <w:spacing w:line="240" w:lineRule="auto"/>
              <w:jc w:val="center"/>
              <w:rPr>
                <w:i/>
              </w:rPr>
            </w:pPr>
            <w:r w:rsidRPr="00F508F9">
              <w:rPr>
                <w:lang w:val="en-US"/>
              </w:rPr>
              <w:t>Alpha Cronbach</w:t>
            </w:r>
          </w:p>
        </w:tc>
        <w:tc>
          <w:tcPr>
            <w:tcW w:w="1465" w:type="dxa"/>
          </w:tcPr>
          <w:p w14:paraId="3D418AF1" w14:textId="77777777" w:rsidR="000850FC" w:rsidRPr="00F508F9" w:rsidRDefault="000850FC" w:rsidP="00B324BD">
            <w:pPr>
              <w:spacing w:line="240" w:lineRule="auto"/>
              <w:jc w:val="center"/>
              <w:rPr>
                <w:lang w:val="en-US"/>
              </w:rPr>
            </w:pPr>
            <w:r w:rsidRPr="00F508F9">
              <w:rPr>
                <w:lang w:val="en-US"/>
              </w:rPr>
              <w:t>Alpha</w:t>
            </w:r>
          </w:p>
          <w:p w14:paraId="167C1B7E" w14:textId="77777777" w:rsidR="000850FC" w:rsidRPr="00F508F9" w:rsidRDefault="000850FC" w:rsidP="00B324BD">
            <w:pPr>
              <w:spacing w:line="240" w:lineRule="auto"/>
              <w:jc w:val="center"/>
              <w:rPr>
                <w:i/>
              </w:rPr>
            </w:pPr>
            <w:r w:rsidRPr="00F508F9">
              <w:rPr>
                <w:lang w:val="en-US"/>
              </w:rPr>
              <w:t>Std</w:t>
            </w:r>
          </w:p>
        </w:tc>
        <w:tc>
          <w:tcPr>
            <w:tcW w:w="1842" w:type="dxa"/>
          </w:tcPr>
          <w:p w14:paraId="32375F61" w14:textId="4D927070" w:rsidR="000850FC" w:rsidRPr="00F508F9" w:rsidRDefault="000850FC" w:rsidP="00B324BD">
            <w:pPr>
              <w:spacing w:line="240" w:lineRule="auto"/>
              <w:jc w:val="center"/>
              <w:rPr>
                <w:i/>
              </w:rPr>
            </w:pPr>
            <w:r w:rsidRPr="000007C7">
              <w:t>Med.</w:t>
            </w:r>
            <w:r>
              <w:t xml:space="preserve">  </w:t>
            </w:r>
            <w:r w:rsidRPr="000007C7">
              <w:t>Corr inter</w:t>
            </w:r>
            <w:r>
              <w:t>-</w:t>
            </w:r>
            <w:r w:rsidRPr="000007C7">
              <w:t>it</w:t>
            </w:r>
            <w:r>
              <w:t>e</w:t>
            </w:r>
            <w:r w:rsidRPr="000007C7">
              <w:t>m</w:t>
            </w:r>
          </w:p>
        </w:tc>
      </w:tr>
      <w:tr w:rsidR="000850FC" w14:paraId="2A2077D1" w14:textId="77777777" w:rsidTr="00CF71FB">
        <w:trPr>
          <w:jc w:val="center"/>
        </w:trPr>
        <w:tc>
          <w:tcPr>
            <w:tcW w:w="1242" w:type="dxa"/>
          </w:tcPr>
          <w:p w14:paraId="3434A03B" w14:textId="77777777" w:rsidR="000850FC" w:rsidRPr="00EE3675" w:rsidRDefault="000850FC" w:rsidP="00B324BD">
            <w:pPr>
              <w:spacing w:line="240" w:lineRule="auto"/>
              <w:jc w:val="right"/>
            </w:pPr>
            <w:r>
              <w:t>288.848</w:t>
            </w:r>
          </w:p>
        </w:tc>
        <w:tc>
          <w:tcPr>
            <w:tcW w:w="1134" w:type="dxa"/>
          </w:tcPr>
          <w:p w14:paraId="61F3D3AB" w14:textId="77777777" w:rsidR="000850FC" w:rsidRPr="00EE3675" w:rsidRDefault="000850FC" w:rsidP="00B324BD">
            <w:pPr>
              <w:spacing w:line="240" w:lineRule="auto"/>
              <w:jc w:val="right"/>
            </w:pPr>
            <w:r>
              <w:t>23.7963</w:t>
            </w:r>
          </w:p>
        </w:tc>
        <w:tc>
          <w:tcPr>
            <w:tcW w:w="1134" w:type="dxa"/>
          </w:tcPr>
          <w:p w14:paraId="620C37F6" w14:textId="77777777" w:rsidR="000850FC" w:rsidRPr="00EE3675" w:rsidRDefault="000850FC" w:rsidP="00B324BD">
            <w:pPr>
              <w:spacing w:line="240" w:lineRule="auto"/>
              <w:jc w:val="right"/>
            </w:pPr>
            <w:r>
              <w:t>46</w:t>
            </w:r>
          </w:p>
        </w:tc>
        <w:tc>
          <w:tcPr>
            <w:tcW w:w="1229" w:type="dxa"/>
          </w:tcPr>
          <w:p w14:paraId="09CBC757" w14:textId="77777777" w:rsidR="000850FC" w:rsidRPr="00EE3675" w:rsidRDefault="000850FC" w:rsidP="00B324BD">
            <w:pPr>
              <w:spacing w:line="240" w:lineRule="auto"/>
              <w:jc w:val="right"/>
            </w:pPr>
            <w:r w:rsidRPr="00EE3675">
              <w:t>.</w:t>
            </w:r>
            <w:r>
              <w:t>9685</w:t>
            </w:r>
          </w:p>
        </w:tc>
        <w:tc>
          <w:tcPr>
            <w:tcW w:w="1465" w:type="dxa"/>
          </w:tcPr>
          <w:p w14:paraId="69AB0874" w14:textId="77777777" w:rsidR="000850FC" w:rsidRPr="00EE3675" w:rsidRDefault="000850FC" w:rsidP="00B324BD">
            <w:pPr>
              <w:spacing w:line="240" w:lineRule="auto"/>
              <w:jc w:val="right"/>
            </w:pPr>
            <w:r w:rsidRPr="00EE3675">
              <w:t>.9</w:t>
            </w:r>
            <w:r>
              <w:t>734</w:t>
            </w:r>
          </w:p>
        </w:tc>
        <w:tc>
          <w:tcPr>
            <w:tcW w:w="1842" w:type="dxa"/>
          </w:tcPr>
          <w:p w14:paraId="61703EA7" w14:textId="77777777" w:rsidR="000850FC" w:rsidRPr="00EE3675" w:rsidRDefault="000850FC" w:rsidP="00B324BD">
            <w:pPr>
              <w:spacing w:line="240" w:lineRule="auto"/>
              <w:jc w:val="right"/>
            </w:pPr>
            <w:r w:rsidRPr="00EE3675">
              <w:t>.</w:t>
            </w:r>
            <w:r>
              <w:t>3810</w:t>
            </w:r>
          </w:p>
        </w:tc>
      </w:tr>
    </w:tbl>
    <w:p w14:paraId="3AA15D06" w14:textId="77777777" w:rsidR="000850FC" w:rsidRDefault="000850FC" w:rsidP="000850FC">
      <w:pPr>
        <w:jc w:val="center"/>
      </w:pPr>
      <w:r>
        <w:t>Fuente: Elaboración propia</w:t>
      </w:r>
    </w:p>
    <w:p w14:paraId="5B7A8FB0" w14:textId="77777777" w:rsidR="007C50B5" w:rsidRDefault="007C50B5" w:rsidP="002226F3">
      <w:pPr>
        <w:pStyle w:val="Ttulo7"/>
        <w:spacing w:line="360" w:lineRule="auto"/>
        <w:rPr>
          <w:b/>
        </w:rPr>
      </w:pPr>
      <w:bookmarkStart w:id="1" w:name="_Toc300909782"/>
    </w:p>
    <w:p w14:paraId="07E72AFB" w14:textId="77777777" w:rsidR="000850FC" w:rsidRPr="00BD2500" w:rsidRDefault="000850FC" w:rsidP="007C50B5">
      <w:pPr>
        <w:pStyle w:val="Ttulo7"/>
        <w:jc w:val="center"/>
      </w:pPr>
      <w:r w:rsidRPr="007C50B5">
        <w:rPr>
          <w:b/>
        </w:rPr>
        <w:t>Tabla 4.</w:t>
      </w:r>
      <w:r w:rsidRPr="00BD2500">
        <w:t xml:space="preserve"> </w:t>
      </w:r>
      <w:r w:rsidRPr="00ED6DA0">
        <w:t>Análisis de confiabilidad del instrumento por competencias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893"/>
        <w:gridCol w:w="993"/>
        <w:gridCol w:w="850"/>
        <w:gridCol w:w="1150"/>
        <w:gridCol w:w="976"/>
        <w:gridCol w:w="1276"/>
      </w:tblGrid>
      <w:tr w:rsidR="000850FC" w14:paraId="40C72E6F" w14:textId="77777777" w:rsidTr="00CF71FB">
        <w:trPr>
          <w:trHeight w:val="473"/>
          <w:jc w:val="center"/>
        </w:trPr>
        <w:tc>
          <w:tcPr>
            <w:tcW w:w="1483" w:type="dxa"/>
          </w:tcPr>
          <w:p w14:paraId="4A68A311" w14:textId="77777777" w:rsidR="000850FC" w:rsidRPr="00F508F9" w:rsidRDefault="000850FC" w:rsidP="00B324BD">
            <w:pPr>
              <w:spacing w:line="240" w:lineRule="auto"/>
              <w:jc w:val="center"/>
              <w:rPr>
                <w:i/>
              </w:rPr>
            </w:pPr>
            <w:r>
              <w:t>Competencia</w:t>
            </w:r>
          </w:p>
        </w:tc>
        <w:tc>
          <w:tcPr>
            <w:tcW w:w="893" w:type="dxa"/>
          </w:tcPr>
          <w:p w14:paraId="2B44B2BF" w14:textId="77777777" w:rsidR="000850FC" w:rsidRPr="00F508F9" w:rsidRDefault="000850FC" w:rsidP="00B324BD">
            <w:pPr>
              <w:spacing w:line="240" w:lineRule="auto"/>
              <w:jc w:val="center"/>
              <w:rPr>
                <w:i/>
              </w:rPr>
            </w:pPr>
            <w:r w:rsidRPr="00F508F9">
              <w:rPr>
                <w:lang w:val="en-US"/>
              </w:rPr>
              <w:t>Media</w:t>
            </w:r>
          </w:p>
        </w:tc>
        <w:tc>
          <w:tcPr>
            <w:tcW w:w="993" w:type="dxa"/>
          </w:tcPr>
          <w:p w14:paraId="058A0EA0" w14:textId="77777777" w:rsidR="000850FC" w:rsidRPr="00F508F9" w:rsidRDefault="000850FC" w:rsidP="00B324BD">
            <w:pPr>
              <w:spacing w:line="240" w:lineRule="auto"/>
              <w:jc w:val="center"/>
              <w:rPr>
                <w:i/>
              </w:rPr>
            </w:pPr>
            <w:proofErr w:type="spellStart"/>
            <w:r w:rsidRPr="00F508F9">
              <w:rPr>
                <w:lang w:val="en-US"/>
              </w:rPr>
              <w:t>Dv</w:t>
            </w:r>
            <w:proofErr w:type="spellEnd"/>
            <w:r w:rsidRPr="00F508F9">
              <w:rPr>
                <w:lang w:val="en-US"/>
              </w:rPr>
              <w:t xml:space="preserve"> </w:t>
            </w:r>
            <w:proofErr w:type="spellStart"/>
            <w:r w:rsidRPr="00F508F9">
              <w:rPr>
                <w:lang w:val="en-US"/>
              </w:rPr>
              <w:t>est</w:t>
            </w:r>
            <w:proofErr w:type="spellEnd"/>
          </w:p>
        </w:tc>
        <w:tc>
          <w:tcPr>
            <w:tcW w:w="850" w:type="dxa"/>
          </w:tcPr>
          <w:p w14:paraId="1C5FBD4F" w14:textId="77777777" w:rsidR="000850FC" w:rsidRPr="00F508F9" w:rsidRDefault="000850FC" w:rsidP="00B324BD">
            <w:pPr>
              <w:spacing w:line="240" w:lineRule="auto"/>
              <w:jc w:val="center"/>
              <w:rPr>
                <w:i/>
              </w:rPr>
            </w:pPr>
            <w:r w:rsidRPr="00F508F9">
              <w:rPr>
                <w:lang w:val="en-US"/>
              </w:rPr>
              <w:t>Casos</w:t>
            </w:r>
          </w:p>
        </w:tc>
        <w:tc>
          <w:tcPr>
            <w:tcW w:w="1150" w:type="dxa"/>
          </w:tcPr>
          <w:p w14:paraId="1FEE477C" w14:textId="77777777" w:rsidR="000850FC" w:rsidRPr="00F508F9" w:rsidRDefault="000850FC" w:rsidP="00B324BD">
            <w:pPr>
              <w:spacing w:line="240" w:lineRule="auto"/>
              <w:jc w:val="center"/>
              <w:rPr>
                <w:i/>
              </w:rPr>
            </w:pPr>
            <w:r w:rsidRPr="00F508F9">
              <w:rPr>
                <w:lang w:val="en-US"/>
              </w:rPr>
              <w:t>Alfa Cronbach</w:t>
            </w:r>
          </w:p>
        </w:tc>
        <w:tc>
          <w:tcPr>
            <w:tcW w:w="976" w:type="dxa"/>
          </w:tcPr>
          <w:p w14:paraId="133913FA" w14:textId="77777777" w:rsidR="000850FC" w:rsidRPr="00F508F9" w:rsidRDefault="000850FC" w:rsidP="00B324BD">
            <w:pPr>
              <w:spacing w:line="240" w:lineRule="auto"/>
              <w:jc w:val="center"/>
              <w:rPr>
                <w:lang w:val="en-US"/>
              </w:rPr>
            </w:pPr>
            <w:r w:rsidRPr="00F508F9">
              <w:rPr>
                <w:lang w:val="en-US"/>
              </w:rPr>
              <w:t>Alpha</w:t>
            </w:r>
          </w:p>
          <w:p w14:paraId="0FC00C94" w14:textId="77777777" w:rsidR="000850FC" w:rsidRPr="00F508F9" w:rsidRDefault="000850FC" w:rsidP="00B324BD">
            <w:pPr>
              <w:spacing w:line="240" w:lineRule="auto"/>
              <w:jc w:val="center"/>
              <w:rPr>
                <w:i/>
              </w:rPr>
            </w:pPr>
            <w:r w:rsidRPr="00F508F9">
              <w:rPr>
                <w:lang w:val="en-US"/>
              </w:rPr>
              <w:t>Est</w:t>
            </w:r>
          </w:p>
        </w:tc>
        <w:tc>
          <w:tcPr>
            <w:tcW w:w="1276" w:type="dxa"/>
          </w:tcPr>
          <w:p w14:paraId="55AF4A6E" w14:textId="6DA3CD58" w:rsidR="000850FC" w:rsidRPr="00F508F9" w:rsidRDefault="000850FC" w:rsidP="00B324BD">
            <w:pPr>
              <w:spacing w:line="240" w:lineRule="auto"/>
              <w:jc w:val="center"/>
              <w:rPr>
                <w:i/>
              </w:rPr>
            </w:pPr>
            <w:r w:rsidRPr="000007C7">
              <w:t>Med.</w:t>
            </w:r>
            <w:r>
              <w:t xml:space="preserve">  </w:t>
            </w:r>
            <w:r w:rsidRPr="000007C7">
              <w:t>Corr inter</w:t>
            </w:r>
            <w:r>
              <w:t>-</w:t>
            </w:r>
            <w:r w:rsidRPr="000007C7">
              <w:t>it</w:t>
            </w:r>
            <w:r>
              <w:t>e</w:t>
            </w:r>
            <w:r w:rsidRPr="000007C7">
              <w:t>m</w:t>
            </w:r>
          </w:p>
        </w:tc>
      </w:tr>
      <w:tr w:rsidR="000850FC" w14:paraId="16529FA0" w14:textId="77777777" w:rsidTr="00CF71FB">
        <w:trPr>
          <w:jc w:val="center"/>
        </w:trPr>
        <w:tc>
          <w:tcPr>
            <w:tcW w:w="1483" w:type="dxa"/>
          </w:tcPr>
          <w:p w14:paraId="344D3550" w14:textId="77777777" w:rsidR="000850FC" w:rsidRPr="00F508F9" w:rsidRDefault="000850FC" w:rsidP="00B324BD">
            <w:pPr>
              <w:spacing w:line="240" w:lineRule="auto"/>
            </w:pPr>
            <w:r w:rsidRPr="00F508F9">
              <w:rPr>
                <w:sz w:val="22"/>
              </w:rPr>
              <w:t>Pedagógica</w:t>
            </w:r>
          </w:p>
        </w:tc>
        <w:tc>
          <w:tcPr>
            <w:tcW w:w="893" w:type="dxa"/>
          </w:tcPr>
          <w:p w14:paraId="11030180" w14:textId="77777777" w:rsidR="000850FC" w:rsidRPr="00F508F9" w:rsidRDefault="000850FC" w:rsidP="00B324BD">
            <w:pPr>
              <w:spacing w:line="240" w:lineRule="auto"/>
              <w:jc w:val="right"/>
            </w:pPr>
            <w:r w:rsidRPr="00F508F9">
              <w:rPr>
                <w:sz w:val="22"/>
              </w:rPr>
              <w:t>73.016</w:t>
            </w:r>
          </w:p>
        </w:tc>
        <w:tc>
          <w:tcPr>
            <w:tcW w:w="993" w:type="dxa"/>
          </w:tcPr>
          <w:p w14:paraId="3B5D5142" w14:textId="77777777" w:rsidR="000850FC" w:rsidRPr="00F508F9" w:rsidRDefault="000850FC" w:rsidP="00B324BD">
            <w:pPr>
              <w:spacing w:line="240" w:lineRule="auto"/>
              <w:jc w:val="right"/>
            </w:pPr>
            <w:r w:rsidRPr="00F508F9">
              <w:rPr>
                <w:sz w:val="22"/>
              </w:rPr>
              <w:t>6.5147</w:t>
            </w:r>
          </w:p>
        </w:tc>
        <w:tc>
          <w:tcPr>
            <w:tcW w:w="850" w:type="dxa"/>
          </w:tcPr>
          <w:p w14:paraId="06032EF1" w14:textId="77777777" w:rsidR="000850FC" w:rsidRPr="00F508F9" w:rsidRDefault="000850FC" w:rsidP="00B324BD">
            <w:pPr>
              <w:spacing w:line="240" w:lineRule="auto"/>
              <w:jc w:val="right"/>
            </w:pPr>
            <w:r w:rsidRPr="00F508F9">
              <w:rPr>
                <w:sz w:val="22"/>
              </w:rPr>
              <w:t>62</w:t>
            </w:r>
          </w:p>
        </w:tc>
        <w:tc>
          <w:tcPr>
            <w:tcW w:w="1150" w:type="dxa"/>
          </w:tcPr>
          <w:p w14:paraId="432C7E7C" w14:textId="77777777" w:rsidR="000850FC" w:rsidRPr="00F508F9" w:rsidRDefault="000850FC" w:rsidP="00B324BD">
            <w:pPr>
              <w:spacing w:line="240" w:lineRule="auto"/>
              <w:jc w:val="right"/>
            </w:pPr>
            <w:r w:rsidRPr="00F508F9">
              <w:rPr>
                <w:sz w:val="22"/>
              </w:rPr>
              <w:t>.8957</w:t>
            </w:r>
          </w:p>
        </w:tc>
        <w:tc>
          <w:tcPr>
            <w:tcW w:w="976" w:type="dxa"/>
          </w:tcPr>
          <w:p w14:paraId="1CFD37F6" w14:textId="77777777" w:rsidR="000850FC" w:rsidRPr="00F508F9" w:rsidRDefault="000850FC" w:rsidP="00B324BD">
            <w:pPr>
              <w:spacing w:line="240" w:lineRule="auto"/>
              <w:jc w:val="right"/>
            </w:pPr>
            <w:r w:rsidRPr="00F508F9">
              <w:rPr>
                <w:sz w:val="22"/>
              </w:rPr>
              <w:t>.9246</w:t>
            </w:r>
          </w:p>
        </w:tc>
        <w:tc>
          <w:tcPr>
            <w:tcW w:w="1276" w:type="dxa"/>
          </w:tcPr>
          <w:p w14:paraId="395894D6" w14:textId="77777777" w:rsidR="000850FC" w:rsidRPr="00F508F9" w:rsidRDefault="000850FC" w:rsidP="00B324BD">
            <w:pPr>
              <w:spacing w:line="240" w:lineRule="auto"/>
              <w:jc w:val="right"/>
            </w:pPr>
            <w:r w:rsidRPr="00F508F9">
              <w:rPr>
                <w:sz w:val="22"/>
              </w:rPr>
              <w:t>.4458</w:t>
            </w:r>
          </w:p>
        </w:tc>
      </w:tr>
      <w:tr w:rsidR="000850FC" w14:paraId="0CB2B633" w14:textId="77777777" w:rsidTr="00CF71FB">
        <w:trPr>
          <w:jc w:val="center"/>
        </w:trPr>
        <w:tc>
          <w:tcPr>
            <w:tcW w:w="1483" w:type="dxa"/>
          </w:tcPr>
          <w:p w14:paraId="7AC27458" w14:textId="77777777" w:rsidR="000850FC" w:rsidRPr="00F508F9" w:rsidRDefault="000850FC" w:rsidP="00B324BD">
            <w:pPr>
              <w:spacing w:line="240" w:lineRule="auto"/>
            </w:pPr>
            <w:r w:rsidRPr="00F508F9">
              <w:rPr>
                <w:sz w:val="22"/>
              </w:rPr>
              <w:t>Social</w:t>
            </w:r>
          </w:p>
        </w:tc>
        <w:tc>
          <w:tcPr>
            <w:tcW w:w="893" w:type="dxa"/>
          </w:tcPr>
          <w:p w14:paraId="10F64F27" w14:textId="77777777" w:rsidR="000850FC" w:rsidRPr="00F508F9" w:rsidRDefault="000850FC" w:rsidP="00B324BD">
            <w:pPr>
              <w:spacing w:line="240" w:lineRule="auto"/>
              <w:jc w:val="right"/>
            </w:pPr>
            <w:r w:rsidRPr="00F508F9">
              <w:rPr>
                <w:sz w:val="22"/>
              </w:rPr>
              <w:t>48.015</w:t>
            </w:r>
          </w:p>
        </w:tc>
        <w:tc>
          <w:tcPr>
            <w:tcW w:w="993" w:type="dxa"/>
          </w:tcPr>
          <w:p w14:paraId="54475652" w14:textId="77777777" w:rsidR="000850FC" w:rsidRPr="00F508F9" w:rsidRDefault="000850FC" w:rsidP="00B324BD">
            <w:pPr>
              <w:spacing w:line="240" w:lineRule="auto"/>
              <w:jc w:val="right"/>
            </w:pPr>
            <w:r w:rsidRPr="00F508F9">
              <w:rPr>
                <w:sz w:val="22"/>
              </w:rPr>
              <w:t>8.2989</w:t>
            </w:r>
          </w:p>
        </w:tc>
        <w:tc>
          <w:tcPr>
            <w:tcW w:w="850" w:type="dxa"/>
          </w:tcPr>
          <w:p w14:paraId="4FC768BF" w14:textId="77777777" w:rsidR="000850FC" w:rsidRPr="00F508F9" w:rsidRDefault="000850FC" w:rsidP="00B324BD">
            <w:pPr>
              <w:spacing w:line="240" w:lineRule="auto"/>
              <w:jc w:val="right"/>
            </w:pPr>
            <w:r w:rsidRPr="00F508F9">
              <w:rPr>
                <w:sz w:val="22"/>
              </w:rPr>
              <w:t>64</w:t>
            </w:r>
          </w:p>
        </w:tc>
        <w:tc>
          <w:tcPr>
            <w:tcW w:w="1150" w:type="dxa"/>
          </w:tcPr>
          <w:p w14:paraId="300A42E0" w14:textId="77777777" w:rsidR="000850FC" w:rsidRPr="00F508F9" w:rsidRDefault="000850FC" w:rsidP="00B324BD">
            <w:pPr>
              <w:spacing w:line="240" w:lineRule="auto"/>
              <w:jc w:val="right"/>
            </w:pPr>
            <w:r w:rsidRPr="00F508F9">
              <w:rPr>
                <w:sz w:val="22"/>
              </w:rPr>
              <w:t>.9532</w:t>
            </w:r>
          </w:p>
        </w:tc>
        <w:tc>
          <w:tcPr>
            <w:tcW w:w="976" w:type="dxa"/>
          </w:tcPr>
          <w:p w14:paraId="14B45CE6" w14:textId="77777777" w:rsidR="000850FC" w:rsidRPr="00F508F9" w:rsidRDefault="000850FC" w:rsidP="00B324BD">
            <w:pPr>
              <w:spacing w:line="240" w:lineRule="auto"/>
              <w:jc w:val="right"/>
            </w:pPr>
            <w:r w:rsidRPr="00F508F9">
              <w:rPr>
                <w:sz w:val="22"/>
              </w:rPr>
              <w:t>.9556</w:t>
            </w:r>
          </w:p>
        </w:tc>
        <w:tc>
          <w:tcPr>
            <w:tcW w:w="1276" w:type="dxa"/>
          </w:tcPr>
          <w:p w14:paraId="665CAF01" w14:textId="77777777" w:rsidR="000850FC" w:rsidRPr="00F508F9" w:rsidRDefault="000850FC" w:rsidP="00B324BD">
            <w:pPr>
              <w:spacing w:line="240" w:lineRule="auto"/>
              <w:jc w:val="right"/>
            </w:pPr>
            <w:r w:rsidRPr="00F508F9">
              <w:rPr>
                <w:sz w:val="22"/>
              </w:rPr>
              <w:t>.6728</w:t>
            </w:r>
          </w:p>
        </w:tc>
      </w:tr>
      <w:tr w:rsidR="000850FC" w14:paraId="01186BCB" w14:textId="77777777" w:rsidTr="00CF71FB">
        <w:trPr>
          <w:jc w:val="center"/>
        </w:trPr>
        <w:tc>
          <w:tcPr>
            <w:tcW w:w="1483" w:type="dxa"/>
          </w:tcPr>
          <w:p w14:paraId="3F04672B" w14:textId="77777777" w:rsidR="000850FC" w:rsidRPr="00F508F9" w:rsidRDefault="000850FC" w:rsidP="00B324BD">
            <w:pPr>
              <w:spacing w:line="240" w:lineRule="auto"/>
            </w:pPr>
            <w:r w:rsidRPr="00F508F9">
              <w:rPr>
                <w:sz w:val="22"/>
              </w:rPr>
              <w:t>Administrativa</w:t>
            </w:r>
          </w:p>
        </w:tc>
        <w:tc>
          <w:tcPr>
            <w:tcW w:w="893" w:type="dxa"/>
          </w:tcPr>
          <w:p w14:paraId="26F6AFA5" w14:textId="77777777" w:rsidR="000850FC" w:rsidRPr="00F508F9" w:rsidRDefault="000850FC" w:rsidP="00B324BD">
            <w:pPr>
              <w:spacing w:line="240" w:lineRule="auto"/>
              <w:jc w:val="right"/>
            </w:pPr>
            <w:r w:rsidRPr="00F508F9">
              <w:rPr>
                <w:sz w:val="22"/>
              </w:rPr>
              <w:t>72.553</w:t>
            </w:r>
          </w:p>
        </w:tc>
        <w:tc>
          <w:tcPr>
            <w:tcW w:w="993" w:type="dxa"/>
          </w:tcPr>
          <w:p w14:paraId="60BD0A4E" w14:textId="77777777" w:rsidR="000850FC" w:rsidRPr="00F508F9" w:rsidRDefault="000850FC" w:rsidP="00B324BD">
            <w:pPr>
              <w:spacing w:line="240" w:lineRule="auto"/>
              <w:jc w:val="right"/>
            </w:pPr>
            <w:r w:rsidRPr="00F508F9">
              <w:rPr>
                <w:sz w:val="22"/>
              </w:rPr>
              <w:t>9.3491</w:t>
            </w:r>
          </w:p>
        </w:tc>
        <w:tc>
          <w:tcPr>
            <w:tcW w:w="850" w:type="dxa"/>
          </w:tcPr>
          <w:p w14:paraId="4F414979" w14:textId="77777777" w:rsidR="000850FC" w:rsidRPr="00F508F9" w:rsidRDefault="000850FC" w:rsidP="00B324BD">
            <w:pPr>
              <w:spacing w:line="240" w:lineRule="auto"/>
              <w:jc w:val="right"/>
            </w:pPr>
            <w:r w:rsidRPr="00F508F9">
              <w:rPr>
                <w:sz w:val="22"/>
              </w:rPr>
              <w:t>65</w:t>
            </w:r>
          </w:p>
        </w:tc>
        <w:tc>
          <w:tcPr>
            <w:tcW w:w="1150" w:type="dxa"/>
          </w:tcPr>
          <w:p w14:paraId="16AC7975" w14:textId="77777777" w:rsidR="000850FC" w:rsidRPr="00F508F9" w:rsidRDefault="000850FC" w:rsidP="00B324BD">
            <w:pPr>
              <w:spacing w:line="240" w:lineRule="auto"/>
              <w:jc w:val="right"/>
            </w:pPr>
            <w:r w:rsidRPr="00F508F9">
              <w:rPr>
                <w:sz w:val="22"/>
              </w:rPr>
              <w:t>.9543</w:t>
            </w:r>
          </w:p>
        </w:tc>
        <w:tc>
          <w:tcPr>
            <w:tcW w:w="976" w:type="dxa"/>
          </w:tcPr>
          <w:p w14:paraId="71BC3074" w14:textId="77777777" w:rsidR="000850FC" w:rsidRPr="00F508F9" w:rsidRDefault="000850FC" w:rsidP="00B324BD">
            <w:pPr>
              <w:spacing w:line="240" w:lineRule="auto"/>
              <w:jc w:val="right"/>
            </w:pPr>
            <w:r w:rsidRPr="00F508F9">
              <w:rPr>
                <w:sz w:val="22"/>
              </w:rPr>
              <w:t>.9567</w:t>
            </w:r>
          </w:p>
        </w:tc>
        <w:tc>
          <w:tcPr>
            <w:tcW w:w="1276" w:type="dxa"/>
          </w:tcPr>
          <w:p w14:paraId="5B9BBFC2" w14:textId="77777777" w:rsidR="000850FC" w:rsidRPr="00F508F9" w:rsidRDefault="000850FC" w:rsidP="00B324BD">
            <w:pPr>
              <w:spacing w:line="240" w:lineRule="auto"/>
              <w:jc w:val="right"/>
            </w:pPr>
            <w:r w:rsidRPr="00F508F9">
              <w:rPr>
                <w:sz w:val="22"/>
              </w:rPr>
              <w:t>.5968</w:t>
            </w:r>
          </w:p>
        </w:tc>
      </w:tr>
      <w:tr w:rsidR="000850FC" w14:paraId="58465FC8" w14:textId="77777777" w:rsidTr="00CF71FB">
        <w:trPr>
          <w:jc w:val="center"/>
        </w:trPr>
        <w:tc>
          <w:tcPr>
            <w:tcW w:w="1483" w:type="dxa"/>
          </w:tcPr>
          <w:p w14:paraId="20EBF6F5" w14:textId="77777777" w:rsidR="000850FC" w:rsidRPr="00F508F9" w:rsidRDefault="000850FC" w:rsidP="00B324BD">
            <w:pPr>
              <w:spacing w:line="240" w:lineRule="auto"/>
            </w:pPr>
            <w:r w:rsidRPr="00F508F9">
              <w:rPr>
                <w:sz w:val="22"/>
              </w:rPr>
              <w:t>Tecnológica</w:t>
            </w:r>
          </w:p>
        </w:tc>
        <w:tc>
          <w:tcPr>
            <w:tcW w:w="893" w:type="dxa"/>
          </w:tcPr>
          <w:p w14:paraId="176DCEED" w14:textId="77777777" w:rsidR="000850FC" w:rsidRPr="00F508F9" w:rsidRDefault="000850FC" w:rsidP="00B324BD">
            <w:pPr>
              <w:spacing w:line="240" w:lineRule="auto"/>
              <w:jc w:val="right"/>
            </w:pPr>
            <w:r w:rsidRPr="00F508F9">
              <w:rPr>
                <w:sz w:val="22"/>
              </w:rPr>
              <w:t>45.125</w:t>
            </w:r>
          </w:p>
        </w:tc>
        <w:tc>
          <w:tcPr>
            <w:tcW w:w="993" w:type="dxa"/>
          </w:tcPr>
          <w:p w14:paraId="6AA828BC" w14:textId="77777777" w:rsidR="000850FC" w:rsidRPr="00F508F9" w:rsidRDefault="000850FC" w:rsidP="00B324BD">
            <w:pPr>
              <w:spacing w:line="240" w:lineRule="auto"/>
              <w:jc w:val="right"/>
            </w:pPr>
            <w:r w:rsidRPr="00F508F9">
              <w:rPr>
                <w:sz w:val="22"/>
              </w:rPr>
              <w:t>5.1254</w:t>
            </w:r>
          </w:p>
        </w:tc>
        <w:tc>
          <w:tcPr>
            <w:tcW w:w="850" w:type="dxa"/>
          </w:tcPr>
          <w:p w14:paraId="502F9331" w14:textId="77777777" w:rsidR="000850FC" w:rsidRPr="00F508F9" w:rsidRDefault="000850FC" w:rsidP="00B324BD">
            <w:pPr>
              <w:spacing w:line="240" w:lineRule="auto"/>
              <w:jc w:val="right"/>
            </w:pPr>
            <w:r w:rsidRPr="00F508F9">
              <w:rPr>
                <w:sz w:val="22"/>
              </w:rPr>
              <w:t>64</w:t>
            </w:r>
          </w:p>
        </w:tc>
        <w:tc>
          <w:tcPr>
            <w:tcW w:w="1150" w:type="dxa"/>
          </w:tcPr>
          <w:p w14:paraId="4C2EADB2" w14:textId="77777777" w:rsidR="000850FC" w:rsidRPr="00F508F9" w:rsidRDefault="000850FC" w:rsidP="00B324BD">
            <w:pPr>
              <w:spacing w:line="240" w:lineRule="auto"/>
              <w:jc w:val="right"/>
            </w:pPr>
            <w:r w:rsidRPr="00F508F9">
              <w:rPr>
                <w:sz w:val="22"/>
              </w:rPr>
              <w:t>.8592</w:t>
            </w:r>
          </w:p>
        </w:tc>
        <w:tc>
          <w:tcPr>
            <w:tcW w:w="976" w:type="dxa"/>
          </w:tcPr>
          <w:p w14:paraId="35CA58E9" w14:textId="77777777" w:rsidR="000850FC" w:rsidRPr="00F508F9" w:rsidRDefault="000850FC" w:rsidP="00B324BD">
            <w:pPr>
              <w:spacing w:line="240" w:lineRule="auto"/>
              <w:jc w:val="right"/>
            </w:pPr>
            <w:r w:rsidRPr="00F508F9">
              <w:rPr>
                <w:sz w:val="22"/>
              </w:rPr>
              <w:t>.8750</w:t>
            </w:r>
          </w:p>
        </w:tc>
        <w:tc>
          <w:tcPr>
            <w:tcW w:w="1276" w:type="dxa"/>
          </w:tcPr>
          <w:p w14:paraId="2EC1B4EB" w14:textId="77777777" w:rsidR="000850FC" w:rsidRPr="00F508F9" w:rsidRDefault="000850FC" w:rsidP="00B324BD">
            <w:pPr>
              <w:spacing w:line="240" w:lineRule="auto"/>
              <w:jc w:val="right"/>
            </w:pPr>
            <w:r w:rsidRPr="00F508F9">
              <w:rPr>
                <w:sz w:val="22"/>
              </w:rPr>
              <w:t>.4250</w:t>
            </w:r>
          </w:p>
        </w:tc>
      </w:tr>
      <w:tr w:rsidR="000850FC" w14:paraId="610BD3B9" w14:textId="77777777" w:rsidTr="00CF71FB">
        <w:trPr>
          <w:jc w:val="center"/>
        </w:trPr>
        <w:tc>
          <w:tcPr>
            <w:tcW w:w="1483" w:type="dxa"/>
          </w:tcPr>
          <w:p w14:paraId="1ED54F47" w14:textId="77777777" w:rsidR="000850FC" w:rsidRPr="00F508F9" w:rsidRDefault="000850FC" w:rsidP="00B324BD">
            <w:pPr>
              <w:spacing w:line="240" w:lineRule="auto"/>
            </w:pPr>
            <w:r w:rsidRPr="00F508F9">
              <w:rPr>
                <w:sz w:val="22"/>
              </w:rPr>
              <w:t>Evaluativa</w:t>
            </w:r>
          </w:p>
        </w:tc>
        <w:tc>
          <w:tcPr>
            <w:tcW w:w="893" w:type="dxa"/>
          </w:tcPr>
          <w:p w14:paraId="784F258A" w14:textId="77777777" w:rsidR="000850FC" w:rsidRPr="00F508F9" w:rsidRDefault="000850FC" w:rsidP="00B324BD">
            <w:pPr>
              <w:spacing w:line="240" w:lineRule="auto"/>
              <w:jc w:val="right"/>
            </w:pPr>
            <w:r w:rsidRPr="00F508F9">
              <w:rPr>
                <w:sz w:val="22"/>
              </w:rPr>
              <w:t>45.788</w:t>
            </w:r>
          </w:p>
        </w:tc>
        <w:tc>
          <w:tcPr>
            <w:tcW w:w="993" w:type="dxa"/>
          </w:tcPr>
          <w:p w14:paraId="0F601BAB" w14:textId="77777777" w:rsidR="000850FC" w:rsidRPr="00F508F9" w:rsidRDefault="000850FC" w:rsidP="00B324BD">
            <w:pPr>
              <w:spacing w:line="240" w:lineRule="auto"/>
              <w:jc w:val="right"/>
            </w:pPr>
            <w:r w:rsidRPr="00F508F9">
              <w:rPr>
                <w:sz w:val="22"/>
              </w:rPr>
              <w:t>6.5865</w:t>
            </w:r>
          </w:p>
        </w:tc>
        <w:tc>
          <w:tcPr>
            <w:tcW w:w="850" w:type="dxa"/>
          </w:tcPr>
          <w:p w14:paraId="75121E66" w14:textId="77777777" w:rsidR="000850FC" w:rsidRPr="00F508F9" w:rsidRDefault="000850FC" w:rsidP="00B324BD">
            <w:pPr>
              <w:spacing w:line="240" w:lineRule="auto"/>
              <w:jc w:val="right"/>
            </w:pPr>
            <w:r w:rsidRPr="00F508F9">
              <w:rPr>
                <w:sz w:val="22"/>
              </w:rPr>
              <w:t>85</w:t>
            </w:r>
          </w:p>
        </w:tc>
        <w:tc>
          <w:tcPr>
            <w:tcW w:w="1150" w:type="dxa"/>
          </w:tcPr>
          <w:p w14:paraId="5325207F" w14:textId="77777777" w:rsidR="000850FC" w:rsidRPr="00F508F9" w:rsidRDefault="000850FC" w:rsidP="00B324BD">
            <w:pPr>
              <w:spacing w:line="240" w:lineRule="auto"/>
              <w:jc w:val="right"/>
            </w:pPr>
            <w:r w:rsidRPr="00F508F9">
              <w:rPr>
                <w:sz w:val="22"/>
              </w:rPr>
              <w:t>.9414</w:t>
            </w:r>
          </w:p>
        </w:tc>
        <w:tc>
          <w:tcPr>
            <w:tcW w:w="976" w:type="dxa"/>
          </w:tcPr>
          <w:p w14:paraId="525C8246" w14:textId="77777777" w:rsidR="000850FC" w:rsidRPr="00F508F9" w:rsidRDefault="000850FC" w:rsidP="00B324BD">
            <w:pPr>
              <w:spacing w:line="240" w:lineRule="auto"/>
              <w:jc w:val="right"/>
            </w:pPr>
            <w:r w:rsidRPr="00F508F9">
              <w:rPr>
                <w:sz w:val="22"/>
              </w:rPr>
              <w:t>.9459</w:t>
            </w:r>
          </w:p>
        </w:tc>
        <w:tc>
          <w:tcPr>
            <w:tcW w:w="1276" w:type="dxa"/>
          </w:tcPr>
          <w:p w14:paraId="41FEA4FA" w14:textId="77777777" w:rsidR="000850FC" w:rsidRPr="00F508F9" w:rsidRDefault="000850FC" w:rsidP="00B324BD">
            <w:pPr>
              <w:spacing w:line="240" w:lineRule="auto"/>
              <w:jc w:val="right"/>
            </w:pPr>
            <w:r w:rsidRPr="00F508F9">
              <w:rPr>
                <w:sz w:val="22"/>
              </w:rPr>
              <w:t>.6384</w:t>
            </w:r>
          </w:p>
        </w:tc>
      </w:tr>
    </w:tbl>
    <w:p w14:paraId="1DC6564C" w14:textId="77777777" w:rsidR="000850FC" w:rsidRDefault="000850FC" w:rsidP="000850FC">
      <w:pPr>
        <w:jc w:val="center"/>
      </w:pPr>
      <w:r>
        <w:t>Fuente: Elaboración propia</w:t>
      </w:r>
    </w:p>
    <w:p w14:paraId="7FF8ED12" w14:textId="47109E24" w:rsidR="000850FC" w:rsidRDefault="000850FC" w:rsidP="000850FC">
      <w:pPr>
        <w:ind w:firstLine="708"/>
        <w:rPr>
          <w:rFonts w:cs="Times New Roman"/>
          <w:lang w:val="es-ES"/>
        </w:rPr>
      </w:pPr>
      <w:r w:rsidRPr="00011CF3">
        <w:rPr>
          <w:rFonts w:cs="Times New Roman"/>
          <w:lang w:val="es-ES"/>
        </w:rPr>
        <w:t xml:space="preserve">Dado que los datos no presentaron una distribución normal, se emplearon estadísticos no paramétricos. </w:t>
      </w:r>
      <w:r>
        <w:rPr>
          <w:rFonts w:cs="Times New Roman"/>
          <w:lang w:val="es-ES"/>
        </w:rPr>
        <w:t>Considerando</w:t>
      </w:r>
      <w:r w:rsidRPr="00011CF3">
        <w:rPr>
          <w:rFonts w:cs="Times New Roman"/>
          <w:lang w:val="es-ES"/>
        </w:rPr>
        <w:t xml:space="preserve"> que el objetivo fue determinar la pertinencia de cada competencia </w:t>
      </w:r>
      <w:r>
        <w:rPr>
          <w:rFonts w:cs="Times New Roman"/>
          <w:lang w:val="es-ES"/>
        </w:rPr>
        <w:t>dentro</w:t>
      </w:r>
      <w:r w:rsidRPr="00011CF3">
        <w:rPr>
          <w:rFonts w:cs="Times New Roman"/>
          <w:lang w:val="es-ES"/>
        </w:rPr>
        <w:t xml:space="preserve"> </w:t>
      </w:r>
      <w:r>
        <w:rPr>
          <w:rFonts w:cs="Times New Roman"/>
          <w:lang w:val="es-ES"/>
        </w:rPr>
        <w:t>del</w:t>
      </w:r>
      <w:r w:rsidRPr="00011CF3">
        <w:rPr>
          <w:rFonts w:cs="Times New Roman"/>
          <w:lang w:val="es-ES"/>
        </w:rPr>
        <w:t xml:space="preserve"> modelo </w:t>
      </w:r>
      <w:r>
        <w:rPr>
          <w:rFonts w:cs="Times New Roman"/>
          <w:lang w:val="es-ES"/>
        </w:rPr>
        <w:t>teórico propuesto</w:t>
      </w:r>
      <w:r w:rsidRPr="00011CF3">
        <w:rPr>
          <w:rFonts w:cs="Times New Roman"/>
          <w:lang w:val="es-ES"/>
        </w:rPr>
        <w:t>,</w:t>
      </w:r>
      <w:r>
        <w:rPr>
          <w:rFonts w:cs="Times New Roman"/>
          <w:lang w:val="es-ES"/>
        </w:rPr>
        <w:t xml:space="preserve"> se </w:t>
      </w:r>
      <w:r w:rsidRPr="00011CF3">
        <w:rPr>
          <w:rFonts w:cs="Times New Roman"/>
          <w:lang w:val="es-ES"/>
        </w:rPr>
        <w:t>analizar</w:t>
      </w:r>
      <w:r>
        <w:rPr>
          <w:rFonts w:cs="Times New Roman"/>
          <w:lang w:val="es-ES"/>
        </w:rPr>
        <w:t>on</w:t>
      </w:r>
      <w:r w:rsidRPr="00011CF3">
        <w:rPr>
          <w:rFonts w:cs="Times New Roman"/>
          <w:lang w:val="es-ES"/>
        </w:rPr>
        <w:t xml:space="preserve"> las correlaciones entre las competencias</w:t>
      </w:r>
      <w:r>
        <w:rPr>
          <w:rFonts w:cs="Times New Roman"/>
          <w:lang w:val="es-ES"/>
        </w:rPr>
        <w:t>; como se</w:t>
      </w:r>
      <w:r w:rsidRPr="00011CF3">
        <w:rPr>
          <w:rFonts w:cs="Times New Roman"/>
          <w:lang w:val="es-ES"/>
        </w:rPr>
        <w:t xml:space="preserve"> </w:t>
      </w:r>
      <w:r>
        <w:rPr>
          <w:rFonts w:cs="Times New Roman"/>
          <w:lang w:val="es-ES"/>
        </w:rPr>
        <w:t>trató de</w:t>
      </w:r>
      <w:r w:rsidRPr="00011CF3">
        <w:rPr>
          <w:rFonts w:cs="Times New Roman"/>
          <w:lang w:val="es-ES"/>
        </w:rPr>
        <w:t xml:space="preserve"> datos ordinales </w:t>
      </w:r>
      <w:r w:rsidR="007C50B5">
        <w:rPr>
          <w:rFonts w:cs="Times New Roman"/>
          <w:lang w:val="es-ES"/>
        </w:rPr>
        <w:t>—</w:t>
      </w:r>
      <w:r w:rsidRPr="00011CF3">
        <w:rPr>
          <w:rFonts w:cs="Times New Roman"/>
          <w:lang w:val="es-ES"/>
        </w:rPr>
        <w:t>tal como propone</w:t>
      </w:r>
      <w:r>
        <w:rPr>
          <w:rFonts w:cs="Times New Roman"/>
          <w:lang w:val="es-ES"/>
        </w:rPr>
        <w:t xml:space="preserve"> Chok </w:t>
      </w:r>
      <w:r>
        <w:rPr>
          <w:rFonts w:cs="Times New Roman"/>
          <w:lang w:val="es-ES"/>
        </w:rPr>
        <w:fldChar w:fldCharType="begin"/>
      </w:r>
      <w:r>
        <w:rPr>
          <w:rFonts w:cs="Times New Roman"/>
          <w:lang w:val="es-ES"/>
        </w:rPr>
        <w:instrText xml:space="preserve"> ADDIN ZOTERO_ITEM CSL_CITATION {"citationID":"quTbvsWw","properties":{"formattedCitation":"(Chok, 2010)","plainCitation":"(Chok, 2010)","dontUpdate":true,"noteIndex":0},"citationItems":[{"id":169,"uris":["http://zotero.org/users/local/tvKJQPKe/items/QN5STH46"],"uri":["http://zotero.org/users/local/tvKJQPKe/items/QN5STH46"],"itemData":{"id":169,"type":"webpage","abstract":"The association between two variables is often of interest in data analysis and methodological research. Pearson's, Spearman's and Kendall's correlation coefficients are the most commonly used measures of monotone association, with the latter two usually suggested for non-normally distributed data. These three correlation coefficients can be represented as the differently weighted averages of the same concordance indicators. The weighting used in the Pearson's correlation coefficient could be preferable for reflecting monotone association in some types of continuous and not necessarily bivariate normal data.In this work, I investigate the intrinsic ability of Pearson's, Spearman's and Kendall's correlation coefficients to affect the statistical power of tests for monotone association in continuous data. This investigation is important in many fields including Public Health, since it can lead to guidelines that help save health research resources by reducing the number of inconclusive studies and enabling design of powerful studies with smaller sample sizes.The statistical power can be affected by both the structure of the employed correlation coefficient and type of a test statistic. Hence, I standardize the comparison of the intrinsic properties of the correlation coefficients by using a permutation test that is applicable to all of them. In the simulation study, I consider four types of continuous bivariate distributions composed of pairs of normal, log-normal, double exponential and t distributions. These distributions enable modeling the scenarios with different degrees of violation of normality with respect to skewness and kurtosis.As a result of the simulation study, I demonstrate that the Pearson's correlation coefficient could offer a substantial improvement in statistical power even for distributions with moderate skewness or excess kurtosis. Nonetheless, because of its known sensitivity to outliers, Pearson's correlation leads to a less powerful statistical test for distributions with extreme skewness or excess of kurtosis (where the datasets with outliers are more likely). In conclusion, the results of my investigation indicate that the Pearson's correlation coefficient could have significant advantages for continuous non-normal data which does not have obvious outliers. Thus, the shape of the distribution should not be a sole reason for not using the Pearson product moment correlation coefficient.","genre":"University of Pittsburgh ETD","language":"en","note":"publisher: University of Pittsburgh","title":"Pearson's Versus Spearman's and Kendall's Correlation Coefficients for Continuous Data","URL":"http://d-scholarship.pitt.edu/8056/","author":[{"family":"Chok","given":"Nian Shong"}],"accessed":{"date-parts":[["2021",4,12]]},"issued":{"date-parts":[["2010",9,24]]}}}],"schema":"https://github.com/citation-style-language/schema/raw/master/csl-citation.json"} </w:instrText>
      </w:r>
      <w:r>
        <w:rPr>
          <w:rFonts w:cs="Times New Roman"/>
          <w:lang w:val="es-ES"/>
        </w:rPr>
        <w:fldChar w:fldCharType="separate"/>
      </w:r>
      <w:r>
        <w:rPr>
          <w:rFonts w:cs="Times New Roman"/>
          <w:noProof/>
          <w:lang w:val="es-ES"/>
        </w:rPr>
        <w:t>(2010)</w:t>
      </w:r>
      <w:r>
        <w:rPr>
          <w:rFonts w:cs="Times New Roman"/>
          <w:lang w:val="es-ES"/>
        </w:rPr>
        <w:fldChar w:fldCharType="end"/>
      </w:r>
      <w:r w:rsidR="007C50B5">
        <w:rPr>
          <w:rFonts w:cs="Times New Roman"/>
          <w:lang w:val="es-ES"/>
        </w:rPr>
        <w:t>—</w:t>
      </w:r>
      <w:r>
        <w:rPr>
          <w:rFonts w:cs="Times New Roman"/>
          <w:lang w:val="es-ES"/>
        </w:rPr>
        <w:t xml:space="preserve">, </w:t>
      </w:r>
      <w:r w:rsidRPr="00011CF3">
        <w:rPr>
          <w:rFonts w:cs="Times New Roman"/>
          <w:lang w:val="es-ES"/>
        </w:rPr>
        <w:t>se aplicó la correlación de Spearman a las medias aritméticas, agrupadas por competencia</w:t>
      </w:r>
      <w:r w:rsidR="004950D3">
        <w:rPr>
          <w:rFonts w:cs="Times New Roman"/>
          <w:lang w:val="es-ES"/>
        </w:rPr>
        <w:t>,</w:t>
      </w:r>
      <w:r w:rsidRPr="00011CF3">
        <w:rPr>
          <w:rFonts w:cs="Times New Roman"/>
          <w:lang w:val="es-ES"/>
        </w:rPr>
        <w:t xml:space="preserve"> primeramente al conjunto total de </w:t>
      </w:r>
      <w:r w:rsidRPr="00011CF3">
        <w:rPr>
          <w:rFonts w:cs="Times New Roman"/>
          <w:lang w:val="es-ES"/>
        </w:rPr>
        <w:lastRenderedPageBreak/>
        <w:t xml:space="preserve">los datos y después por subgrupos de acuerdo </w:t>
      </w:r>
      <w:r w:rsidR="007C50B5">
        <w:rPr>
          <w:rFonts w:cs="Times New Roman"/>
          <w:lang w:val="es-ES"/>
        </w:rPr>
        <w:t>con el</w:t>
      </w:r>
      <w:r w:rsidRPr="00011CF3">
        <w:rPr>
          <w:rFonts w:cs="Times New Roman"/>
          <w:lang w:val="es-ES"/>
        </w:rPr>
        <w:t xml:space="preserve"> grado académico de licenciatura, especialidad, diplomado y posgrado. </w:t>
      </w:r>
    </w:p>
    <w:p w14:paraId="0BABDA48" w14:textId="4009A101" w:rsidR="000850FC" w:rsidRDefault="000850FC" w:rsidP="000850FC">
      <w:pPr>
        <w:ind w:firstLine="708"/>
      </w:pPr>
      <w:r>
        <w:t>Se realizó un análisis factorial confirmatorio de componentes principales que permitió identificar coincidencias en los factores subyacentes en los datos recopilados de los estudiantes que se contrastaron con la prueba piloto y se verific</w:t>
      </w:r>
      <w:r w:rsidR="007C50B5">
        <w:t>aron</w:t>
      </w:r>
      <w:r>
        <w:t xml:space="preserve"> la similitud y </w:t>
      </w:r>
      <w:r w:rsidR="007C50B5">
        <w:t xml:space="preserve">las </w:t>
      </w:r>
      <w:r>
        <w:t xml:space="preserve">diferencias existentes. Es importante mencionar que aunque la muestra total no cubrió el mínimo que se considera viable para un análisis factorial confirmatorio </w:t>
      </w:r>
      <w:r w:rsidR="007C50B5">
        <w:t>—</w:t>
      </w:r>
      <w:r>
        <w:t xml:space="preserve">que es de 100 casos, de acuerdo con  Mavrou </w:t>
      </w:r>
      <w:r>
        <w:fldChar w:fldCharType="begin"/>
      </w:r>
      <w:r>
        <w:instrText xml:space="preserve"> ADDIN ZOTERO_ITEM CSL_CITATION {"citationID":"PVfEOjbe","properties":{"formattedCitation":"(Mavrou, 2015)","plainCitation":"(Mavrou, 2015)","dontUpdate":true,"noteIndex":0},"citationItems":[{"id":166,"uris":["http://zotero.org/users/local/tvKJQPKe/items/K5BAQU8L"],"uri":["http://zotero.org/users/local/tvKJQPKe/items/K5BAQU8L"],"itemData":{"id":166,"type":"article-journal","abstract":"Resumen\n\t\t\t\t\tEl objetivo de este artículo es revisar las aportaciones de varios especialistas sobre la técnica multivariante del Análisis Factorial Exploratorio. En primer lugar, se discuten las diferencias entre los dos principales métodos del AFE, el Análisis de Componentes Principales y el Análisis Factorial Común. A continuación, se presentan los estándares que deben cumplirse para su aplicación, así como ciertos métodos de extracción y de rotación de los factores. Finalmente, se comentan algunos criterios para la determinación de los factores que van a ser retenidos y se proporcionan algunas directrices para la evaluación de la significancia de las cargas factoriales en función del tamaño muestral.","container-title":"Revista Nebrija de Lingüística Aplicada a la Enseñanza de Lenguas","DOI":"10.26378/rnlael019283","ISSN":"1699-6569","issue":"19","language":"es","note":"number: 19","page":"71-80","source":"revistas.nebrija.com","title":"Análisis factorial exploratorio","URL":"https://revistas.nebrija.com/revista-linguistica/article/view/283","author":[{"family":"Mavrou","given":"Irini"}],"accessed":{"date-parts":[["2021",4,12]]},"issued":{"date-parts":[["2015",11,30]]}}}],"schema":"https://github.com/citation-style-language/schema/raw/master/csl-citation.json"} </w:instrText>
      </w:r>
      <w:r>
        <w:fldChar w:fldCharType="separate"/>
      </w:r>
      <w:r>
        <w:rPr>
          <w:noProof/>
        </w:rPr>
        <w:t>(2015)</w:t>
      </w:r>
      <w:r>
        <w:fldChar w:fldCharType="end"/>
      </w:r>
      <w:r w:rsidR="007C50B5">
        <w:t>—,</w:t>
      </w:r>
      <w:r>
        <w:t xml:space="preserve"> se ha demostrado con estudios basados en simulaciones computacionales que aun en muestras pequeñas puede tener sentido aplicar este tipo de análisis, ya que permite encontrar patrones latentes valiosos y el tamaño de la muestra no debe ser el único criterio para rechazarlo. </w:t>
      </w:r>
    </w:p>
    <w:p w14:paraId="5AE1B0AE" w14:textId="77777777" w:rsidR="000850FC" w:rsidRDefault="000850FC" w:rsidP="000850FC">
      <w:pPr>
        <w:ind w:firstLine="708"/>
      </w:pPr>
      <w:r w:rsidRPr="00C35C46">
        <w:t>Se aplicó una prueba U de Mann Whitney</w:t>
      </w:r>
      <w:r>
        <w:t>,</w:t>
      </w:r>
      <w:r w:rsidRPr="00C35C46">
        <w:t xml:space="preserve"> dado que es la alternativa no paramétrica a la prueba T para determinar la diferencia de medias con la variable dicotómica </w:t>
      </w:r>
      <w:r w:rsidRPr="007C50B5">
        <w:rPr>
          <w:i/>
        </w:rPr>
        <w:t>nivel académico</w:t>
      </w:r>
      <w:r w:rsidR="007C50B5">
        <w:t>,</w:t>
      </w:r>
      <w:r w:rsidRPr="00C35C46">
        <w:t xml:space="preserve"> en primera instancia</w:t>
      </w:r>
      <w:r w:rsidR="007C50B5">
        <w:t>,</w:t>
      </w:r>
      <w:r w:rsidRPr="00C35C46">
        <w:t xml:space="preserve"> y con la variable dicotómica </w:t>
      </w:r>
      <w:r w:rsidRPr="007C50B5">
        <w:rPr>
          <w:i/>
        </w:rPr>
        <w:t>experiencia previa</w:t>
      </w:r>
      <w:r>
        <w:t>,</w:t>
      </w:r>
      <w:r w:rsidRPr="00C35C46">
        <w:t xml:space="preserve"> a fin de determinar si existió o no diferencia entre las percepciones de los estudiantes dependiendo del grado académico que estudian o de la experiencia previa que puedan tener como facilitadores.</w:t>
      </w:r>
      <w:r>
        <w:t xml:space="preserve"> </w:t>
      </w:r>
    </w:p>
    <w:p w14:paraId="1F43E9B7" w14:textId="77777777" w:rsidR="000850FC" w:rsidRDefault="000850FC" w:rsidP="000850FC">
      <w:pPr>
        <w:ind w:firstLine="708"/>
      </w:pPr>
      <w:r>
        <w:t xml:space="preserve">Se aplicó también la prueba Kruskall Wallis para múltiples muestras independientes, </w:t>
      </w:r>
      <w:r w:rsidR="007C50B5">
        <w:t>empleando</w:t>
      </w:r>
      <w:r>
        <w:t xml:space="preserve"> como variable agrupadora </w:t>
      </w:r>
      <w:r w:rsidRPr="007C50B5">
        <w:rPr>
          <w:i/>
        </w:rPr>
        <w:t>la institución, el grado y la experiencia previa como facilitadores</w:t>
      </w:r>
      <w:r>
        <w:t xml:space="preserve"> para saber si existieron diferencias significativas entre las percepciones de los estudiantes de acuerdo </w:t>
      </w:r>
      <w:r w:rsidR="007C50B5">
        <w:t>con</w:t>
      </w:r>
      <w:r>
        <w:t xml:space="preserve"> estas variables.</w:t>
      </w:r>
    </w:p>
    <w:p w14:paraId="0B69D78B" w14:textId="5F2E8614" w:rsidR="000850FC" w:rsidRDefault="000850FC" w:rsidP="000850FC">
      <w:pPr>
        <w:ind w:firstLine="708"/>
      </w:pPr>
      <w:r>
        <w:t>Se aplicó una prueba de Ji2 tablas de dos por dos, definiendo dos niveles de competencia: alto para aquellas ponderaciones de cuatro y cinco</w:t>
      </w:r>
      <w:r w:rsidR="005C19DE">
        <w:t>,</w:t>
      </w:r>
      <w:r>
        <w:t xml:space="preserve"> y bajo para las ponderaciones de uno, dos y tres; con esta reagrupación de variables se pudo aplicar el estadístico bivariado para determinar si el nivel académico o la experiencia que los alumnos puedan tener a su vez como facilitadores influye</w:t>
      </w:r>
      <w:r w:rsidR="005C19DE">
        <w:t>n</w:t>
      </w:r>
      <w:r>
        <w:t xml:space="preserve"> en las ponderaciones otorgadas a sus docentes. Finalmente, el análisis de correspondencias multivariado ayudó a observar la asociación entre las variables y su intensidad </w:t>
      </w:r>
      <w:r>
        <w:fldChar w:fldCharType="begin"/>
      </w:r>
      <w:r>
        <w:instrText xml:space="preserve"> ADDIN ZOTERO_ITEM CSL_CITATION {"citationID":"kNke6LLO","properties":{"formattedCitation":"(Greenacre, 2008)","plainCitation":"(Greenacre, 2008)","noteIndex":0},"citationItems":[{"id":174,"uris":["http://zotero.org/users/local/tvKJQPKe/items/U3QF6MZQ"],"uri":["http://zotero.org/users/local/tvKJQPKe/items/U3QF6MZQ"],"itemData":{"id":174,"type":"book","collection-title":"Fundación BBVA","event-place":"Barcelona","ISBN":"978-84-96515-71-0","language":"Spanish","note":"OCLC: 804489496","publisher":"Fundación BBVA","publisher-place":"Barcelona","source":"Open WorldCat","title":"La Práctica del análisis de correspondencias","URL":"https://web.archive.org/web/20100325141907/http://www.fbbva.es/TLFU/tlfu/esp/publicaciones/libros/fichalibro/index.jsp?codigo=300","author":[{"family":"Greenacre","given":"Michael J"}],"issued":{"date-parts":[["2008"]]}}}],"schema":"https://github.com/citation-style-language/schema/raw/master/csl-citation.json"} </w:instrText>
      </w:r>
      <w:r>
        <w:fldChar w:fldCharType="separate"/>
      </w:r>
      <w:r>
        <w:rPr>
          <w:noProof/>
        </w:rPr>
        <w:t>(Greenacre, 2008)</w:t>
      </w:r>
      <w:r>
        <w:fldChar w:fldCharType="end"/>
      </w:r>
      <w:r>
        <w:t xml:space="preserve"> con lo que pudo  determinarse  la influencia que la combinación de las variables </w:t>
      </w:r>
      <w:r w:rsidRPr="005C19DE">
        <w:rPr>
          <w:i/>
        </w:rPr>
        <w:t>institución</w:t>
      </w:r>
      <w:r>
        <w:t xml:space="preserve"> y </w:t>
      </w:r>
      <w:r w:rsidRPr="005C19DE">
        <w:rPr>
          <w:i/>
        </w:rPr>
        <w:t>grado académico</w:t>
      </w:r>
      <w:r>
        <w:t xml:space="preserve"> tiene sobre las percepciones de los alumnos.</w:t>
      </w:r>
    </w:p>
    <w:p w14:paraId="767E9C9A" w14:textId="2EC8FA17" w:rsidR="000850FC" w:rsidRDefault="000850FC" w:rsidP="000850FC">
      <w:pPr>
        <w:ind w:firstLine="708"/>
      </w:pPr>
      <w:r>
        <w:t>Respecto a los datos obtenidos de los directivos, dado que fue información básica y que se obtuvieron respuestas de una persona por institución, no fue necesario aplicar análisis estadístico, sino que se empleó como antecedente descriptivo de las condiciones de demandas y recursos en que opera</w:t>
      </w:r>
      <w:r w:rsidR="007A7428">
        <w:t>ba</w:t>
      </w:r>
      <w:r>
        <w:t xml:space="preserve"> la docencia en línea en la institución, lo cual junto con el análisis del modelo educativo imperante en cada institución permiti</w:t>
      </w:r>
      <w:r w:rsidR="005C19DE">
        <w:t>eron</w:t>
      </w:r>
      <w:r>
        <w:t xml:space="preserve"> triangular la información e identificar fortalezas y oportunidades en el desempeño docente en las instituciones. </w:t>
      </w:r>
    </w:p>
    <w:p w14:paraId="34FA2EBF" w14:textId="77777777" w:rsidR="000850FC" w:rsidRPr="0029590A" w:rsidRDefault="000850FC" w:rsidP="000850FC">
      <w:pPr>
        <w:jc w:val="center"/>
        <w:rPr>
          <w:rFonts w:cs="Times New Roman"/>
          <w:b/>
          <w:sz w:val="32"/>
          <w:szCs w:val="32"/>
          <w:lang w:val="es-ES"/>
        </w:rPr>
      </w:pPr>
      <w:r w:rsidRPr="0029590A">
        <w:rPr>
          <w:rFonts w:cs="Times New Roman"/>
          <w:b/>
          <w:sz w:val="32"/>
          <w:szCs w:val="32"/>
          <w:lang w:val="es-ES"/>
        </w:rPr>
        <w:lastRenderedPageBreak/>
        <w:t>Resultados</w:t>
      </w:r>
      <w:r w:rsidR="005C19DE">
        <w:rPr>
          <w:rFonts w:cs="Times New Roman"/>
          <w:b/>
          <w:sz w:val="32"/>
          <w:szCs w:val="32"/>
          <w:lang w:val="es-ES"/>
        </w:rPr>
        <w:t xml:space="preserve"> </w:t>
      </w:r>
    </w:p>
    <w:p w14:paraId="7CE0312C" w14:textId="77777777" w:rsidR="000850FC" w:rsidRDefault="000850FC" w:rsidP="005C19DE">
      <w:pPr>
        <w:ind w:firstLine="708"/>
        <w:rPr>
          <w:rFonts w:cs="Times New Roman"/>
          <w:lang w:val="es-ES"/>
        </w:rPr>
      </w:pPr>
      <w:r>
        <w:rPr>
          <w:rFonts w:cs="Times New Roman"/>
          <w:lang w:val="es-ES"/>
        </w:rPr>
        <w:t xml:space="preserve">Los resultados de esta investigación se presentan de acuerdo </w:t>
      </w:r>
      <w:r w:rsidR="005C19DE">
        <w:rPr>
          <w:rFonts w:cs="Times New Roman"/>
          <w:lang w:val="es-ES"/>
        </w:rPr>
        <w:t>con</w:t>
      </w:r>
      <w:r>
        <w:rPr>
          <w:rFonts w:cs="Times New Roman"/>
          <w:lang w:val="es-ES"/>
        </w:rPr>
        <w:t xml:space="preserve"> las tres fuentes básicas de información consideradas en el diseño metodológico empleado: modelo psicopedagógico institucional, información ofrecida por los gestores y percepción de los estudiantes.</w:t>
      </w:r>
    </w:p>
    <w:p w14:paraId="3FCB5261" w14:textId="77777777" w:rsidR="000850FC" w:rsidRDefault="000850FC" w:rsidP="000850FC">
      <w:pPr>
        <w:rPr>
          <w:rFonts w:cs="Times New Roman"/>
          <w:lang w:val="es-ES"/>
        </w:rPr>
      </w:pPr>
    </w:p>
    <w:p w14:paraId="76243491" w14:textId="77777777" w:rsidR="000850FC" w:rsidRPr="0029590A" w:rsidRDefault="000850FC" w:rsidP="000850FC">
      <w:pPr>
        <w:jc w:val="center"/>
        <w:rPr>
          <w:rFonts w:cs="Times New Roman"/>
          <w:b/>
          <w:sz w:val="28"/>
          <w:szCs w:val="28"/>
          <w:lang w:val="es-ES"/>
        </w:rPr>
      </w:pPr>
      <w:r w:rsidRPr="0029590A">
        <w:rPr>
          <w:rFonts w:cs="Times New Roman"/>
          <w:b/>
          <w:sz w:val="28"/>
          <w:szCs w:val="28"/>
          <w:lang w:val="es-ES"/>
        </w:rPr>
        <w:t xml:space="preserve">Modelo </w:t>
      </w:r>
      <w:r w:rsidR="005C19DE" w:rsidRPr="0029590A">
        <w:rPr>
          <w:rFonts w:cs="Times New Roman"/>
          <w:b/>
          <w:sz w:val="28"/>
          <w:szCs w:val="28"/>
          <w:lang w:val="es-ES"/>
        </w:rPr>
        <w:t>educativo institucional</w:t>
      </w:r>
      <w:r w:rsidR="005C19DE">
        <w:rPr>
          <w:rFonts w:cs="Times New Roman"/>
          <w:b/>
          <w:sz w:val="28"/>
          <w:szCs w:val="28"/>
          <w:lang w:val="es-ES"/>
        </w:rPr>
        <w:t xml:space="preserve"> </w:t>
      </w:r>
    </w:p>
    <w:p w14:paraId="66019D01" w14:textId="77777777" w:rsidR="000850FC" w:rsidRDefault="000850FC" w:rsidP="005C19DE">
      <w:pPr>
        <w:ind w:firstLine="708"/>
        <w:rPr>
          <w:rStyle w:val="CitaHTML"/>
          <w:i w:val="0"/>
        </w:rPr>
      </w:pPr>
      <w:r w:rsidRPr="006524E7">
        <w:rPr>
          <w:rFonts w:cs="Times New Roman"/>
          <w:lang w:val="es-ES"/>
        </w:rPr>
        <w:t xml:space="preserve">Respecto al modelo </w:t>
      </w:r>
      <w:r>
        <w:rPr>
          <w:rFonts w:cs="Times New Roman"/>
          <w:lang w:val="es-ES"/>
        </w:rPr>
        <w:t>educativo</w:t>
      </w:r>
      <w:r w:rsidRPr="006524E7">
        <w:rPr>
          <w:rFonts w:cs="Times New Roman"/>
          <w:lang w:val="es-ES"/>
        </w:rPr>
        <w:t xml:space="preserve"> institucional </w:t>
      </w:r>
      <w:r>
        <w:rPr>
          <w:rFonts w:cs="Times New Roman"/>
          <w:lang w:val="es-ES"/>
        </w:rPr>
        <w:t>(</w:t>
      </w:r>
      <w:r w:rsidR="005C19DE">
        <w:rPr>
          <w:rFonts w:cs="Times New Roman"/>
          <w:lang w:val="es-ES"/>
        </w:rPr>
        <w:t>t</w:t>
      </w:r>
      <w:r>
        <w:rPr>
          <w:rFonts w:cs="Times New Roman"/>
          <w:lang w:val="es-ES"/>
        </w:rPr>
        <w:t>abla 5)</w:t>
      </w:r>
      <w:r w:rsidR="005C19DE">
        <w:rPr>
          <w:rFonts w:cs="Times New Roman"/>
          <w:lang w:val="es-ES"/>
        </w:rPr>
        <w:t>,</w:t>
      </w:r>
      <w:r>
        <w:rPr>
          <w:rFonts w:cs="Times New Roman"/>
          <w:lang w:val="es-ES"/>
        </w:rPr>
        <w:t xml:space="preserve"> </w:t>
      </w:r>
      <w:r w:rsidRPr="006524E7">
        <w:rPr>
          <w:rFonts w:cs="Times New Roman"/>
          <w:lang w:val="es-ES"/>
        </w:rPr>
        <w:t>se encontr</w:t>
      </w:r>
      <w:r>
        <w:rPr>
          <w:rFonts w:cs="Times New Roman"/>
          <w:lang w:val="es-ES"/>
        </w:rPr>
        <w:t>aron</w:t>
      </w:r>
      <w:r w:rsidRPr="006524E7">
        <w:rPr>
          <w:rFonts w:cs="Times New Roman"/>
          <w:lang w:val="es-ES"/>
        </w:rPr>
        <w:t xml:space="preserve"> </w:t>
      </w:r>
      <w:r w:rsidRPr="006524E7">
        <w:rPr>
          <w:rStyle w:val="CitaHTML"/>
          <w:i w:val="0"/>
        </w:rPr>
        <w:t xml:space="preserve">coincidencias </w:t>
      </w:r>
      <w:r>
        <w:rPr>
          <w:rStyle w:val="CitaHTML"/>
          <w:i w:val="0"/>
        </w:rPr>
        <w:t>entre las</w:t>
      </w:r>
      <w:r w:rsidRPr="006524E7">
        <w:rPr>
          <w:rStyle w:val="CitaHTML"/>
          <w:i w:val="0"/>
        </w:rPr>
        <w:t xml:space="preserve"> instituciones, ya que tod</w:t>
      </w:r>
      <w:r w:rsidR="005C19DE">
        <w:rPr>
          <w:rStyle w:val="CitaHTML"/>
          <w:i w:val="0"/>
        </w:rPr>
        <w:t>a</w:t>
      </w:r>
      <w:r w:rsidRPr="006524E7">
        <w:rPr>
          <w:rStyle w:val="CitaHTML"/>
          <w:i w:val="0"/>
        </w:rPr>
        <w:t>s se basan en una combinación de teorías educativas constructivistas, humanistas y socioculturales</w:t>
      </w:r>
      <w:r w:rsidR="005C19DE">
        <w:rPr>
          <w:rStyle w:val="CitaHTML"/>
          <w:i w:val="0"/>
        </w:rPr>
        <w:t xml:space="preserve">, es decir, </w:t>
      </w:r>
      <w:r w:rsidRPr="006524E7">
        <w:rPr>
          <w:rStyle w:val="CitaHTML"/>
          <w:i w:val="0"/>
        </w:rPr>
        <w:t>centrad</w:t>
      </w:r>
      <w:r w:rsidR="005C19DE">
        <w:rPr>
          <w:rStyle w:val="CitaHTML"/>
          <w:i w:val="0"/>
        </w:rPr>
        <w:t>a</w:t>
      </w:r>
      <w:r w:rsidRPr="006524E7">
        <w:rPr>
          <w:rStyle w:val="CitaHTML"/>
          <w:i w:val="0"/>
        </w:rPr>
        <w:t>s en el aprendizaje</w:t>
      </w:r>
      <w:r w:rsidR="005C19DE">
        <w:rPr>
          <w:rStyle w:val="CitaHTML"/>
          <w:i w:val="0"/>
        </w:rPr>
        <w:t xml:space="preserve">. Esto significa </w:t>
      </w:r>
      <w:r>
        <w:rPr>
          <w:rStyle w:val="CitaHTML"/>
          <w:i w:val="0"/>
        </w:rPr>
        <w:t>que</w:t>
      </w:r>
      <w:r w:rsidRPr="006524E7">
        <w:rPr>
          <w:rStyle w:val="CitaHTML"/>
          <w:i w:val="0"/>
        </w:rPr>
        <w:t xml:space="preserve"> los docentes bus</w:t>
      </w:r>
      <w:r>
        <w:rPr>
          <w:rStyle w:val="CitaHTML"/>
          <w:i w:val="0"/>
        </w:rPr>
        <w:t>can</w:t>
      </w:r>
      <w:r w:rsidRPr="006524E7">
        <w:rPr>
          <w:rStyle w:val="CitaHTML"/>
          <w:i w:val="0"/>
        </w:rPr>
        <w:t xml:space="preserve"> con su práctica guiar </w:t>
      </w:r>
      <w:r w:rsidR="005C19DE">
        <w:rPr>
          <w:rStyle w:val="CitaHTML"/>
          <w:i w:val="0"/>
        </w:rPr>
        <w:t>a</w:t>
      </w:r>
      <w:r w:rsidRPr="006524E7">
        <w:rPr>
          <w:rStyle w:val="CitaHTML"/>
          <w:i w:val="0"/>
        </w:rPr>
        <w:t xml:space="preserve">l alumno de tal manera que construya su propio aprendizaje y se </w:t>
      </w:r>
      <w:r>
        <w:rPr>
          <w:rStyle w:val="CitaHTML"/>
          <w:i w:val="0"/>
        </w:rPr>
        <w:t>h</w:t>
      </w:r>
      <w:r w:rsidR="005C19DE">
        <w:rPr>
          <w:rStyle w:val="CitaHTML"/>
          <w:i w:val="0"/>
        </w:rPr>
        <w:t>aga</w:t>
      </w:r>
      <w:r w:rsidRPr="006524E7">
        <w:rPr>
          <w:rStyle w:val="CitaHTML"/>
          <w:i w:val="0"/>
        </w:rPr>
        <w:t xml:space="preserve"> responsable de su proceso</w:t>
      </w:r>
      <w:r w:rsidR="005C19DE">
        <w:rPr>
          <w:rStyle w:val="CitaHTML"/>
          <w:i w:val="0"/>
        </w:rPr>
        <w:t>. Así,</w:t>
      </w:r>
      <w:r>
        <w:rPr>
          <w:rStyle w:val="CitaHTML"/>
          <w:i w:val="0"/>
        </w:rPr>
        <w:t xml:space="preserve"> </w:t>
      </w:r>
      <w:r w:rsidR="005C19DE">
        <w:rPr>
          <w:rStyle w:val="CitaHTML"/>
          <w:i w:val="0"/>
        </w:rPr>
        <w:t>e</w:t>
      </w:r>
      <w:r w:rsidRPr="006524E7">
        <w:rPr>
          <w:rStyle w:val="CitaHTML"/>
          <w:i w:val="0"/>
        </w:rPr>
        <w:t xml:space="preserve">l docente </w:t>
      </w:r>
      <w:r w:rsidR="005C19DE">
        <w:rPr>
          <w:rStyle w:val="CitaHTML"/>
          <w:i w:val="0"/>
        </w:rPr>
        <w:t xml:space="preserve">puede </w:t>
      </w:r>
      <w:r>
        <w:rPr>
          <w:rStyle w:val="CitaHTML"/>
          <w:i w:val="0"/>
        </w:rPr>
        <w:t>crear</w:t>
      </w:r>
      <w:r w:rsidRPr="006524E7">
        <w:rPr>
          <w:rStyle w:val="CitaHTML"/>
          <w:i w:val="0"/>
        </w:rPr>
        <w:t xml:space="preserve"> ambientes con buena comunicación, </w:t>
      </w:r>
      <w:r>
        <w:rPr>
          <w:rStyle w:val="CitaHTML"/>
          <w:i w:val="0"/>
        </w:rPr>
        <w:t>promoviendo</w:t>
      </w:r>
      <w:r w:rsidRPr="006524E7">
        <w:rPr>
          <w:rStyle w:val="CitaHTML"/>
          <w:i w:val="0"/>
        </w:rPr>
        <w:t xml:space="preserve"> el respeto y </w:t>
      </w:r>
      <w:r>
        <w:rPr>
          <w:rStyle w:val="CitaHTML"/>
          <w:i w:val="0"/>
        </w:rPr>
        <w:t xml:space="preserve">a la </w:t>
      </w:r>
      <w:r w:rsidRPr="006524E7">
        <w:rPr>
          <w:rStyle w:val="CitaHTML"/>
          <w:i w:val="0"/>
        </w:rPr>
        <w:t>cohesión del grupo.</w:t>
      </w:r>
      <w:r>
        <w:rPr>
          <w:rStyle w:val="CitaHTML"/>
          <w:i w:val="0"/>
        </w:rPr>
        <w:t xml:space="preserve"> Todas las instituciones cuentan con </w:t>
      </w:r>
      <w:r w:rsidRPr="006524E7">
        <w:rPr>
          <w:rStyle w:val="CitaHTML"/>
          <w:i w:val="0"/>
        </w:rPr>
        <w:t xml:space="preserve">un departamento o célula de producción de material educativo para los cursos de cada programa educativo, </w:t>
      </w:r>
      <w:r w:rsidR="005C19DE">
        <w:rPr>
          <w:rStyle w:val="CitaHTML"/>
          <w:i w:val="0"/>
        </w:rPr>
        <w:t>por lo que</w:t>
      </w:r>
      <w:r>
        <w:rPr>
          <w:rStyle w:val="CitaHTML"/>
          <w:i w:val="0"/>
        </w:rPr>
        <w:t xml:space="preserve"> el d</w:t>
      </w:r>
      <w:r w:rsidRPr="006524E7">
        <w:rPr>
          <w:rStyle w:val="CitaHTML"/>
          <w:i w:val="0"/>
        </w:rPr>
        <w:t xml:space="preserve">ocente </w:t>
      </w:r>
      <w:r>
        <w:rPr>
          <w:rStyle w:val="CitaHTML"/>
          <w:i w:val="0"/>
        </w:rPr>
        <w:t xml:space="preserve">puede </w:t>
      </w:r>
      <w:r w:rsidRPr="006524E7">
        <w:rPr>
          <w:rStyle w:val="CitaHTML"/>
          <w:i w:val="0"/>
        </w:rPr>
        <w:t>enfocarse en la labor de facilitación del proceso</w:t>
      </w:r>
      <w:r w:rsidR="005C19DE">
        <w:rPr>
          <w:rStyle w:val="CitaHTML"/>
          <w:i w:val="0"/>
        </w:rPr>
        <w:t>,</w:t>
      </w:r>
      <w:r w:rsidRPr="006524E7">
        <w:rPr>
          <w:rStyle w:val="CitaHTML"/>
          <w:i w:val="0"/>
        </w:rPr>
        <w:t xml:space="preserve"> y no en la producción de los materiales educativos que requiere.</w:t>
      </w:r>
    </w:p>
    <w:p w14:paraId="66F112CB" w14:textId="16DA9724" w:rsidR="000850FC" w:rsidRPr="006524E7" w:rsidRDefault="000850FC" w:rsidP="000850FC">
      <w:pPr>
        <w:ind w:firstLine="708"/>
        <w:rPr>
          <w:rStyle w:val="CitaHTML"/>
          <w:i w:val="0"/>
        </w:rPr>
      </w:pPr>
      <w:r w:rsidRPr="006524E7">
        <w:rPr>
          <w:rStyle w:val="CitaHTML"/>
          <w:i w:val="0"/>
        </w:rPr>
        <w:t xml:space="preserve">Otro punto de coincidencia es la utilización de sistemas de administración del conocimiento para organizar y entregar los recursos y </w:t>
      </w:r>
      <w:r>
        <w:rPr>
          <w:rStyle w:val="CitaHTML"/>
          <w:i w:val="0"/>
        </w:rPr>
        <w:t xml:space="preserve">conducir </w:t>
      </w:r>
      <w:r w:rsidRPr="006524E7">
        <w:rPr>
          <w:rStyle w:val="CitaHTML"/>
          <w:i w:val="0"/>
        </w:rPr>
        <w:t>la comunicación</w:t>
      </w:r>
      <w:r w:rsidR="005C19DE">
        <w:rPr>
          <w:rStyle w:val="CitaHTML"/>
          <w:i w:val="0"/>
        </w:rPr>
        <w:t>.</w:t>
      </w:r>
      <w:r w:rsidRPr="006524E7">
        <w:rPr>
          <w:rStyle w:val="CitaHTML"/>
          <w:i w:val="0"/>
        </w:rPr>
        <w:t xml:space="preserve"> </w:t>
      </w:r>
      <w:r w:rsidR="005C19DE">
        <w:rPr>
          <w:rStyle w:val="CitaHTML"/>
          <w:i w:val="0"/>
        </w:rPr>
        <w:t>N</w:t>
      </w:r>
      <w:r w:rsidRPr="006524E7">
        <w:rPr>
          <w:rStyle w:val="CitaHTML"/>
          <w:i w:val="0"/>
        </w:rPr>
        <w:t>inguna institución emplea métodos más simples como las c</w:t>
      </w:r>
      <w:r>
        <w:rPr>
          <w:rStyle w:val="CitaHTML"/>
          <w:i w:val="0"/>
        </w:rPr>
        <w:t>omunidades virtuales libres, si</w:t>
      </w:r>
      <w:r w:rsidRPr="006524E7">
        <w:rPr>
          <w:rStyle w:val="CitaHTML"/>
          <w:i w:val="0"/>
        </w:rPr>
        <w:t>no que todas han invertido en la adquisición, construcción o adecuación de plataformas educativas complejas, que permiten la construcción de ambientes de aprendizaje en línea</w:t>
      </w:r>
      <w:r>
        <w:rPr>
          <w:rStyle w:val="CitaHTML"/>
          <w:i w:val="0"/>
        </w:rPr>
        <w:t xml:space="preserve">  </w:t>
      </w:r>
      <w:r w:rsidRPr="006524E7">
        <w:rPr>
          <w:rStyle w:val="CitaHTML"/>
          <w:i w:val="0"/>
        </w:rPr>
        <w:t xml:space="preserve">con herramientas de comunicación y de aprendizaje diversas y variadas. El énfasis en este punto se pone de manifiesto porque </w:t>
      </w:r>
      <w:r>
        <w:rPr>
          <w:rStyle w:val="CitaHTML"/>
          <w:i w:val="0"/>
        </w:rPr>
        <w:t>dos</w:t>
      </w:r>
      <w:r w:rsidRPr="006524E7">
        <w:rPr>
          <w:rStyle w:val="CitaHTML"/>
          <w:i w:val="0"/>
        </w:rPr>
        <w:t xml:space="preserve"> de las </w:t>
      </w:r>
      <w:r>
        <w:rPr>
          <w:rStyle w:val="CitaHTML"/>
          <w:i w:val="0"/>
        </w:rPr>
        <w:t>seis</w:t>
      </w:r>
      <w:r w:rsidRPr="006524E7">
        <w:rPr>
          <w:rStyle w:val="CitaHTML"/>
          <w:i w:val="0"/>
        </w:rPr>
        <w:t xml:space="preserve"> instituciones han invertido tiempo y recursos en </w:t>
      </w:r>
      <w:r w:rsidR="005C19DE">
        <w:rPr>
          <w:rStyle w:val="CitaHTML"/>
          <w:i w:val="0"/>
        </w:rPr>
        <w:t>diseñar</w:t>
      </w:r>
      <w:r w:rsidRPr="006524E7">
        <w:rPr>
          <w:rStyle w:val="CitaHTML"/>
          <w:i w:val="0"/>
        </w:rPr>
        <w:t xml:space="preserve"> sus propias plataformas educativas </w:t>
      </w:r>
      <w:r w:rsidR="005C19DE">
        <w:rPr>
          <w:rStyle w:val="CitaHTML"/>
          <w:i w:val="0"/>
        </w:rPr>
        <w:t>(</w:t>
      </w:r>
      <w:r w:rsidRPr="006524E7">
        <w:rPr>
          <w:rStyle w:val="CitaHTML"/>
          <w:i w:val="0"/>
        </w:rPr>
        <w:t>Nexus y Eminus</w:t>
      </w:r>
      <w:r w:rsidR="005C19DE">
        <w:rPr>
          <w:rStyle w:val="CitaHTML"/>
          <w:i w:val="0"/>
        </w:rPr>
        <w:t>)</w:t>
      </w:r>
      <w:r w:rsidRPr="006524E7">
        <w:rPr>
          <w:rStyle w:val="CitaHTML"/>
          <w:i w:val="0"/>
        </w:rPr>
        <w:t>.</w:t>
      </w:r>
    </w:p>
    <w:p w14:paraId="496AD102" w14:textId="4F374895" w:rsidR="000850FC" w:rsidRDefault="000850FC" w:rsidP="000850FC">
      <w:pPr>
        <w:rPr>
          <w:rFonts w:cs="Times New Roman"/>
        </w:rPr>
      </w:pPr>
    </w:p>
    <w:p w14:paraId="16E855BF" w14:textId="6A2E3D27" w:rsidR="00727258" w:rsidRDefault="00727258" w:rsidP="000850FC">
      <w:pPr>
        <w:rPr>
          <w:rFonts w:cs="Times New Roman"/>
        </w:rPr>
      </w:pPr>
    </w:p>
    <w:p w14:paraId="0AECE6ED" w14:textId="3EF2E2E1" w:rsidR="00727258" w:rsidRDefault="00727258" w:rsidP="000850FC">
      <w:pPr>
        <w:rPr>
          <w:rFonts w:cs="Times New Roman"/>
        </w:rPr>
      </w:pPr>
    </w:p>
    <w:p w14:paraId="06F6AD01" w14:textId="48B02958" w:rsidR="00727258" w:rsidRDefault="00727258" w:rsidP="000850FC">
      <w:pPr>
        <w:rPr>
          <w:rFonts w:cs="Times New Roman"/>
        </w:rPr>
      </w:pPr>
    </w:p>
    <w:p w14:paraId="292EEA8A" w14:textId="035E0B5C" w:rsidR="00727258" w:rsidRDefault="00727258" w:rsidP="000850FC">
      <w:pPr>
        <w:rPr>
          <w:rFonts w:cs="Times New Roman"/>
        </w:rPr>
      </w:pPr>
    </w:p>
    <w:p w14:paraId="49E689AF" w14:textId="1DE4FC67" w:rsidR="00727258" w:rsidRDefault="00727258" w:rsidP="000850FC">
      <w:pPr>
        <w:rPr>
          <w:rFonts w:cs="Times New Roman"/>
        </w:rPr>
      </w:pPr>
    </w:p>
    <w:p w14:paraId="74B3CB5D" w14:textId="465E5ADE" w:rsidR="00727258" w:rsidRDefault="00727258" w:rsidP="000850FC">
      <w:pPr>
        <w:rPr>
          <w:rFonts w:cs="Times New Roman"/>
        </w:rPr>
      </w:pPr>
    </w:p>
    <w:p w14:paraId="2CD0BEA8" w14:textId="7B3765C8" w:rsidR="00727258" w:rsidRDefault="00727258" w:rsidP="000850FC">
      <w:pPr>
        <w:rPr>
          <w:rFonts w:cs="Times New Roman"/>
        </w:rPr>
      </w:pPr>
    </w:p>
    <w:p w14:paraId="174895EE" w14:textId="77777777" w:rsidR="00727258" w:rsidRPr="006524E7" w:rsidRDefault="00727258" w:rsidP="000850FC">
      <w:pPr>
        <w:rPr>
          <w:rFonts w:cs="Times New Roman"/>
        </w:rPr>
      </w:pPr>
    </w:p>
    <w:p w14:paraId="21E11CB6" w14:textId="77777777" w:rsidR="000850FC" w:rsidRPr="00BD2500" w:rsidRDefault="000850FC" w:rsidP="005C19DE">
      <w:pPr>
        <w:pStyle w:val="Ttulo7"/>
        <w:jc w:val="center"/>
        <w:rPr>
          <w:lang w:eastAsia="es-ES"/>
        </w:rPr>
      </w:pPr>
      <w:bookmarkStart w:id="2" w:name="_Toc300909786"/>
      <w:r w:rsidRPr="005C19DE">
        <w:rPr>
          <w:b/>
          <w:lang w:eastAsia="es-ES"/>
        </w:rPr>
        <w:lastRenderedPageBreak/>
        <w:t>Tabla 5.</w:t>
      </w:r>
      <w:r w:rsidRPr="00BD2500">
        <w:rPr>
          <w:lang w:eastAsia="es-ES"/>
        </w:rPr>
        <w:t xml:space="preserve"> </w:t>
      </w:r>
      <w:r w:rsidRPr="00ED6DA0">
        <w:rPr>
          <w:lang w:eastAsia="es-ES"/>
        </w:rPr>
        <w:t>Aspectos relevantes de los modelos educativos institucional</w:t>
      </w:r>
      <w:bookmarkEnd w:id="2"/>
      <w:r w:rsidRPr="00ED6DA0">
        <w:rPr>
          <w:lang w:eastAsia="es-ES"/>
        </w:rPr>
        <w:t>es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984"/>
        <w:gridCol w:w="1418"/>
        <w:gridCol w:w="1276"/>
        <w:gridCol w:w="3294"/>
      </w:tblGrid>
      <w:tr w:rsidR="000850FC" w:rsidRPr="00CF71FB" w14:paraId="1DC8EDF4" w14:textId="77777777" w:rsidTr="00CF71FB">
        <w:tc>
          <w:tcPr>
            <w:tcW w:w="1526" w:type="dxa"/>
          </w:tcPr>
          <w:p w14:paraId="54172392" w14:textId="77777777" w:rsidR="000850FC" w:rsidRPr="00CF71FB" w:rsidRDefault="000850FC" w:rsidP="00B324BD">
            <w:pPr>
              <w:jc w:val="center"/>
              <w:rPr>
                <w:rFonts w:cs="Times New Roman"/>
              </w:rPr>
            </w:pPr>
            <w:r w:rsidRPr="00CF71FB">
              <w:rPr>
                <w:rFonts w:cs="Times New Roman"/>
              </w:rPr>
              <w:t>Institución</w:t>
            </w:r>
          </w:p>
        </w:tc>
        <w:tc>
          <w:tcPr>
            <w:tcW w:w="1984" w:type="dxa"/>
          </w:tcPr>
          <w:p w14:paraId="16BC6D63" w14:textId="77777777" w:rsidR="000850FC" w:rsidRPr="00CF71FB" w:rsidRDefault="000850FC" w:rsidP="00B324BD">
            <w:pPr>
              <w:jc w:val="center"/>
              <w:rPr>
                <w:rFonts w:cs="Times New Roman"/>
              </w:rPr>
            </w:pPr>
            <w:r w:rsidRPr="00CF71FB">
              <w:rPr>
                <w:rFonts w:cs="Times New Roman"/>
              </w:rPr>
              <w:t>Enfoque psicopedagógico</w:t>
            </w:r>
          </w:p>
        </w:tc>
        <w:tc>
          <w:tcPr>
            <w:tcW w:w="1418" w:type="dxa"/>
          </w:tcPr>
          <w:p w14:paraId="55BD1E2B" w14:textId="77777777" w:rsidR="000850FC" w:rsidRPr="00CF71FB" w:rsidRDefault="000850FC" w:rsidP="00B324BD">
            <w:pPr>
              <w:jc w:val="center"/>
              <w:rPr>
                <w:rFonts w:cs="Times New Roman"/>
              </w:rPr>
            </w:pPr>
            <w:r w:rsidRPr="00CF71FB">
              <w:rPr>
                <w:rFonts w:cs="Times New Roman"/>
              </w:rPr>
              <w:t>Esquema de</w:t>
            </w:r>
          </w:p>
          <w:p w14:paraId="533B4218" w14:textId="77777777" w:rsidR="000850FC" w:rsidRPr="00CF71FB" w:rsidRDefault="000850FC" w:rsidP="00B324BD">
            <w:pPr>
              <w:jc w:val="center"/>
              <w:rPr>
                <w:rFonts w:cs="Times New Roman"/>
              </w:rPr>
            </w:pPr>
            <w:r w:rsidRPr="00CF71FB">
              <w:rPr>
                <w:rFonts w:cs="Times New Roman"/>
              </w:rPr>
              <w:t>estudios</w:t>
            </w:r>
          </w:p>
        </w:tc>
        <w:tc>
          <w:tcPr>
            <w:tcW w:w="1276" w:type="dxa"/>
          </w:tcPr>
          <w:p w14:paraId="236370D5" w14:textId="77777777" w:rsidR="000850FC" w:rsidRPr="00CF71FB" w:rsidRDefault="000850FC" w:rsidP="00B324BD">
            <w:pPr>
              <w:jc w:val="center"/>
              <w:rPr>
                <w:rFonts w:cs="Times New Roman"/>
              </w:rPr>
            </w:pPr>
            <w:r w:rsidRPr="00CF71FB">
              <w:rPr>
                <w:rFonts w:cs="Times New Roman"/>
              </w:rPr>
              <w:t xml:space="preserve">Plataforma </w:t>
            </w:r>
            <w:r w:rsidRPr="00CF71FB">
              <w:rPr>
                <w:rFonts w:cs="Times New Roman"/>
              </w:rPr>
              <w:br/>
              <w:t>LMS</w:t>
            </w:r>
          </w:p>
        </w:tc>
        <w:tc>
          <w:tcPr>
            <w:tcW w:w="3294" w:type="dxa"/>
          </w:tcPr>
          <w:p w14:paraId="38EC5440" w14:textId="77777777" w:rsidR="000850FC" w:rsidRPr="00CF71FB" w:rsidRDefault="000850FC" w:rsidP="00B324BD">
            <w:pPr>
              <w:jc w:val="center"/>
              <w:rPr>
                <w:rFonts w:cs="Times New Roman"/>
              </w:rPr>
            </w:pPr>
            <w:r w:rsidRPr="00CF71FB">
              <w:rPr>
                <w:rFonts w:cs="Times New Roman"/>
              </w:rPr>
              <w:t>Características</w:t>
            </w:r>
          </w:p>
          <w:p w14:paraId="5D68EFEB" w14:textId="77777777" w:rsidR="000850FC" w:rsidRPr="00CF71FB" w:rsidRDefault="000850FC" w:rsidP="00B324BD">
            <w:pPr>
              <w:jc w:val="center"/>
              <w:rPr>
                <w:rFonts w:cs="Times New Roman"/>
              </w:rPr>
            </w:pPr>
            <w:r w:rsidRPr="00CF71FB">
              <w:rPr>
                <w:rFonts w:cs="Times New Roman"/>
              </w:rPr>
              <w:t>Relevantes</w:t>
            </w:r>
          </w:p>
        </w:tc>
      </w:tr>
      <w:tr w:rsidR="000850FC" w:rsidRPr="00CF71FB" w14:paraId="3325A8D9" w14:textId="77777777" w:rsidTr="00CF71FB">
        <w:trPr>
          <w:trHeight w:val="1166"/>
        </w:trPr>
        <w:tc>
          <w:tcPr>
            <w:tcW w:w="1526" w:type="dxa"/>
          </w:tcPr>
          <w:p w14:paraId="5B175F0F" w14:textId="4C47FC4D" w:rsidR="000850FC" w:rsidRPr="00CF71FB" w:rsidRDefault="000850FC" w:rsidP="00B324BD">
            <w:pPr>
              <w:spacing w:line="240" w:lineRule="auto"/>
              <w:rPr>
                <w:rFonts w:cs="Times New Roman"/>
              </w:rPr>
            </w:pPr>
            <w:r w:rsidRPr="00CF71FB">
              <w:rPr>
                <w:rFonts w:cs="Times New Roman"/>
                <w:noProof/>
              </w:rPr>
              <w:t>Universidad Autónoma de Tamaulipas</w:t>
            </w:r>
          </w:p>
        </w:tc>
        <w:tc>
          <w:tcPr>
            <w:tcW w:w="1984" w:type="dxa"/>
          </w:tcPr>
          <w:p w14:paraId="2AA69B04" w14:textId="630B0285" w:rsidR="000850FC" w:rsidRPr="00CF71FB" w:rsidRDefault="000850FC" w:rsidP="00B324BD">
            <w:pPr>
              <w:spacing w:line="240" w:lineRule="auto"/>
              <w:rPr>
                <w:rFonts w:cs="Times New Roman"/>
              </w:rPr>
            </w:pPr>
            <w:r w:rsidRPr="00CF71FB">
              <w:rPr>
                <w:rFonts w:cs="Times New Roman"/>
              </w:rPr>
              <w:t>Constructivismo con una fuerte tendencia  al humanismo.</w:t>
            </w:r>
          </w:p>
        </w:tc>
        <w:tc>
          <w:tcPr>
            <w:tcW w:w="1418" w:type="dxa"/>
          </w:tcPr>
          <w:p w14:paraId="5495B6C1" w14:textId="77777777" w:rsidR="000850FC" w:rsidRPr="00CF71FB" w:rsidRDefault="000850FC" w:rsidP="00B324BD">
            <w:pPr>
              <w:spacing w:line="240" w:lineRule="auto"/>
              <w:rPr>
                <w:rFonts w:cs="Times New Roman"/>
              </w:rPr>
            </w:pPr>
            <w:r w:rsidRPr="00CF71FB">
              <w:rPr>
                <w:rFonts w:cs="Times New Roman"/>
              </w:rPr>
              <w:t>Mayormente en línea con breves estancias presenciales.</w:t>
            </w:r>
          </w:p>
        </w:tc>
        <w:tc>
          <w:tcPr>
            <w:tcW w:w="1276" w:type="dxa"/>
          </w:tcPr>
          <w:p w14:paraId="0E90DCD6" w14:textId="77777777" w:rsidR="000850FC" w:rsidRPr="00CF71FB" w:rsidRDefault="000850FC" w:rsidP="00B324BD">
            <w:pPr>
              <w:spacing w:line="240" w:lineRule="auto"/>
              <w:rPr>
                <w:rFonts w:cs="Times New Roman"/>
              </w:rPr>
            </w:pPr>
            <w:r w:rsidRPr="00CF71FB">
              <w:rPr>
                <w:rFonts w:cs="Times New Roman"/>
              </w:rPr>
              <w:t>Black Board</w:t>
            </w:r>
          </w:p>
        </w:tc>
        <w:tc>
          <w:tcPr>
            <w:tcW w:w="3294" w:type="dxa"/>
          </w:tcPr>
          <w:p w14:paraId="6674C599" w14:textId="77777777" w:rsidR="000850FC" w:rsidRPr="00CF71FB" w:rsidRDefault="000850FC" w:rsidP="00B324BD">
            <w:pPr>
              <w:spacing w:line="240" w:lineRule="auto"/>
              <w:rPr>
                <w:rFonts w:cs="Times New Roman"/>
              </w:rPr>
            </w:pPr>
            <w:r w:rsidRPr="00CF71FB">
              <w:rPr>
                <w:rFonts w:cs="Times New Roman"/>
              </w:rPr>
              <w:t>Centrado en el estudiante.</w:t>
            </w:r>
          </w:p>
          <w:p w14:paraId="28CD5FD7" w14:textId="77777777" w:rsidR="000850FC" w:rsidRPr="00CF71FB" w:rsidRDefault="000850FC" w:rsidP="00B324BD">
            <w:pPr>
              <w:spacing w:line="240" w:lineRule="auto"/>
              <w:rPr>
                <w:rFonts w:cs="Times New Roman"/>
              </w:rPr>
            </w:pPr>
            <w:r w:rsidRPr="00CF71FB">
              <w:rPr>
                <w:rFonts w:cs="Times New Roman"/>
              </w:rPr>
              <w:t xml:space="preserve">Aprendizaje significativo y enfocado en competencias. </w:t>
            </w:r>
          </w:p>
          <w:p w14:paraId="69E28C1A" w14:textId="77777777" w:rsidR="000850FC" w:rsidRPr="00CF71FB" w:rsidRDefault="000850FC" w:rsidP="00B324BD">
            <w:pPr>
              <w:spacing w:line="240" w:lineRule="auto"/>
              <w:rPr>
                <w:rFonts w:cs="Times New Roman"/>
              </w:rPr>
            </w:pPr>
            <w:r w:rsidRPr="00CF71FB">
              <w:rPr>
                <w:rFonts w:cs="Times New Roman"/>
              </w:rPr>
              <w:t>Uso extensivo de las TIC</w:t>
            </w:r>
            <w:r w:rsidR="00C24069" w:rsidRPr="00CF71FB">
              <w:rPr>
                <w:rFonts w:cs="Times New Roman"/>
              </w:rPr>
              <w:t>.</w:t>
            </w:r>
          </w:p>
        </w:tc>
      </w:tr>
      <w:tr w:rsidR="000850FC" w:rsidRPr="00CF71FB" w14:paraId="337C2F05" w14:textId="77777777" w:rsidTr="00CF71FB">
        <w:trPr>
          <w:trHeight w:val="1135"/>
        </w:trPr>
        <w:tc>
          <w:tcPr>
            <w:tcW w:w="1526" w:type="dxa"/>
          </w:tcPr>
          <w:p w14:paraId="46CB59C9" w14:textId="1FD50A68" w:rsidR="000850FC" w:rsidRPr="00CF71FB" w:rsidRDefault="000850FC" w:rsidP="00B324BD">
            <w:pPr>
              <w:spacing w:line="240" w:lineRule="auto"/>
              <w:rPr>
                <w:rFonts w:cs="Times New Roman"/>
              </w:rPr>
            </w:pPr>
            <w:r w:rsidRPr="00CF71FB">
              <w:rPr>
                <w:rFonts w:cs="Times New Roman"/>
                <w:noProof/>
              </w:rPr>
              <w:t>Universidad de Guadalajara</w:t>
            </w:r>
          </w:p>
        </w:tc>
        <w:tc>
          <w:tcPr>
            <w:tcW w:w="1984" w:type="dxa"/>
          </w:tcPr>
          <w:p w14:paraId="02403C68" w14:textId="77777777" w:rsidR="000850FC" w:rsidRPr="00CF71FB" w:rsidRDefault="000850FC" w:rsidP="00B324BD">
            <w:pPr>
              <w:spacing w:line="240" w:lineRule="auto"/>
              <w:rPr>
                <w:rFonts w:cs="Times New Roman"/>
              </w:rPr>
            </w:pPr>
            <w:r w:rsidRPr="00CF71FB">
              <w:rPr>
                <w:rFonts w:cs="Times New Roman"/>
              </w:rPr>
              <w:t>Constructivista con tendencia sociocultural.</w:t>
            </w:r>
          </w:p>
        </w:tc>
        <w:tc>
          <w:tcPr>
            <w:tcW w:w="1418" w:type="dxa"/>
          </w:tcPr>
          <w:p w14:paraId="755A00B9" w14:textId="77777777" w:rsidR="000850FC" w:rsidRPr="00CF71FB" w:rsidRDefault="000850FC" w:rsidP="00B324BD">
            <w:pPr>
              <w:spacing w:line="240" w:lineRule="auto"/>
              <w:rPr>
                <w:rFonts w:cs="Times New Roman"/>
              </w:rPr>
            </w:pPr>
            <w:r w:rsidRPr="00CF71FB">
              <w:rPr>
                <w:rFonts w:cs="Times New Roman"/>
              </w:rPr>
              <w:t>100</w:t>
            </w:r>
            <w:r w:rsidR="005C19DE" w:rsidRPr="00CF71FB">
              <w:rPr>
                <w:rFonts w:cs="Times New Roman"/>
              </w:rPr>
              <w:t xml:space="preserve"> </w:t>
            </w:r>
            <w:r w:rsidRPr="00CF71FB">
              <w:rPr>
                <w:rFonts w:cs="Times New Roman"/>
              </w:rPr>
              <w:t>% en línea, cuenta con centros de atención</w:t>
            </w:r>
            <w:r w:rsidR="00C24069" w:rsidRPr="00CF71FB">
              <w:rPr>
                <w:rFonts w:cs="Times New Roman"/>
              </w:rPr>
              <w:t>.</w:t>
            </w:r>
          </w:p>
          <w:p w14:paraId="18DABA17" w14:textId="77777777" w:rsidR="000850FC" w:rsidRPr="00CF71FB" w:rsidRDefault="000850FC" w:rsidP="00B324BD">
            <w:pPr>
              <w:spacing w:line="240" w:lineRule="auto"/>
              <w:rPr>
                <w:rFonts w:cs="Times New Roman"/>
              </w:rPr>
            </w:pPr>
          </w:p>
        </w:tc>
        <w:tc>
          <w:tcPr>
            <w:tcW w:w="1276" w:type="dxa"/>
          </w:tcPr>
          <w:p w14:paraId="1A21B8BC" w14:textId="77777777" w:rsidR="000850FC" w:rsidRPr="00CF71FB" w:rsidRDefault="000850FC" w:rsidP="00B324BD">
            <w:pPr>
              <w:spacing w:line="240" w:lineRule="auto"/>
              <w:rPr>
                <w:rFonts w:cs="Times New Roman"/>
              </w:rPr>
            </w:pPr>
            <w:r w:rsidRPr="00CF71FB">
              <w:rPr>
                <w:rFonts w:cs="Times New Roman"/>
              </w:rPr>
              <w:t>Moodle</w:t>
            </w:r>
          </w:p>
        </w:tc>
        <w:tc>
          <w:tcPr>
            <w:tcW w:w="3294" w:type="dxa"/>
          </w:tcPr>
          <w:p w14:paraId="1AB8B680" w14:textId="77777777" w:rsidR="000850FC" w:rsidRPr="00CF71FB" w:rsidRDefault="000850FC" w:rsidP="00B324BD">
            <w:pPr>
              <w:spacing w:line="240" w:lineRule="auto"/>
              <w:rPr>
                <w:rFonts w:cs="Times New Roman"/>
              </w:rPr>
            </w:pPr>
            <w:r w:rsidRPr="00CF71FB">
              <w:rPr>
                <w:rFonts w:cs="Times New Roman"/>
              </w:rPr>
              <w:t>Centrado en el estudiante.</w:t>
            </w:r>
          </w:p>
          <w:p w14:paraId="3B3E1ACD" w14:textId="77777777" w:rsidR="000850FC" w:rsidRPr="00CF71FB" w:rsidRDefault="000850FC" w:rsidP="00B324BD">
            <w:pPr>
              <w:spacing w:line="240" w:lineRule="auto"/>
              <w:rPr>
                <w:rFonts w:cs="Times New Roman"/>
              </w:rPr>
            </w:pPr>
            <w:r w:rsidRPr="00CF71FB">
              <w:rPr>
                <w:rFonts w:cs="Times New Roman"/>
              </w:rPr>
              <w:t xml:space="preserve">Enfocado </w:t>
            </w:r>
            <w:r w:rsidR="00C24069" w:rsidRPr="00CF71FB">
              <w:rPr>
                <w:rFonts w:cs="Times New Roman"/>
              </w:rPr>
              <w:t>en</w:t>
            </w:r>
            <w:r w:rsidRPr="00CF71FB">
              <w:rPr>
                <w:rFonts w:cs="Times New Roman"/>
              </w:rPr>
              <w:t xml:space="preserve"> competencias para ser</w:t>
            </w:r>
            <w:r w:rsidR="00C24069" w:rsidRPr="00CF71FB">
              <w:rPr>
                <w:rFonts w:cs="Times New Roman"/>
              </w:rPr>
              <w:t>,</w:t>
            </w:r>
            <w:r w:rsidRPr="00CF71FB">
              <w:rPr>
                <w:rFonts w:cs="Times New Roman"/>
              </w:rPr>
              <w:t xml:space="preserve"> aprender a ser y conocer, hacer, convivir y emprender.</w:t>
            </w:r>
          </w:p>
          <w:p w14:paraId="5896FD31" w14:textId="77777777" w:rsidR="000850FC" w:rsidRPr="00CF71FB" w:rsidRDefault="000850FC" w:rsidP="00B324BD">
            <w:pPr>
              <w:spacing w:line="240" w:lineRule="auto"/>
              <w:rPr>
                <w:rFonts w:cs="Times New Roman"/>
              </w:rPr>
            </w:pPr>
            <w:r w:rsidRPr="00CF71FB">
              <w:rPr>
                <w:rFonts w:cs="Times New Roman"/>
              </w:rPr>
              <w:t>Uso extensivo de las TIC.</w:t>
            </w:r>
          </w:p>
        </w:tc>
      </w:tr>
      <w:tr w:rsidR="000850FC" w:rsidRPr="00CF71FB" w14:paraId="45BECF6F" w14:textId="77777777" w:rsidTr="00CF71FB">
        <w:trPr>
          <w:trHeight w:val="1273"/>
        </w:trPr>
        <w:tc>
          <w:tcPr>
            <w:tcW w:w="1526" w:type="dxa"/>
          </w:tcPr>
          <w:p w14:paraId="3E24B413" w14:textId="5C38CA5A" w:rsidR="000850FC" w:rsidRPr="00CF71FB" w:rsidRDefault="000850FC" w:rsidP="00B324BD">
            <w:pPr>
              <w:spacing w:line="240" w:lineRule="auto"/>
              <w:rPr>
                <w:rFonts w:cs="Times New Roman"/>
              </w:rPr>
            </w:pPr>
            <w:r w:rsidRPr="00CF71FB">
              <w:rPr>
                <w:rFonts w:cs="Times New Roman"/>
                <w:noProof/>
              </w:rPr>
              <w:t>Universidad Autónoma de Nuevo León</w:t>
            </w:r>
          </w:p>
        </w:tc>
        <w:tc>
          <w:tcPr>
            <w:tcW w:w="1984" w:type="dxa"/>
          </w:tcPr>
          <w:p w14:paraId="211D0DE7" w14:textId="77777777" w:rsidR="000850FC" w:rsidRPr="00CF71FB" w:rsidRDefault="000850FC" w:rsidP="00B324BD">
            <w:pPr>
              <w:spacing w:line="240" w:lineRule="auto"/>
              <w:rPr>
                <w:rFonts w:cs="Times New Roman"/>
              </w:rPr>
            </w:pPr>
            <w:r w:rsidRPr="00CF71FB">
              <w:rPr>
                <w:rFonts w:cs="Times New Roman"/>
              </w:rPr>
              <w:t>Constructivista con tendencias humanistas.</w:t>
            </w:r>
          </w:p>
        </w:tc>
        <w:tc>
          <w:tcPr>
            <w:tcW w:w="1418" w:type="dxa"/>
          </w:tcPr>
          <w:p w14:paraId="72AB17F4" w14:textId="77777777" w:rsidR="000850FC" w:rsidRPr="00CF71FB" w:rsidRDefault="000850FC" w:rsidP="00B324BD">
            <w:pPr>
              <w:spacing w:line="240" w:lineRule="auto"/>
              <w:rPr>
                <w:rFonts w:cs="Times New Roman"/>
              </w:rPr>
            </w:pPr>
            <w:r w:rsidRPr="00CF71FB">
              <w:rPr>
                <w:rFonts w:cs="Times New Roman"/>
              </w:rPr>
              <w:t>Totalmente en línea.</w:t>
            </w:r>
          </w:p>
        </w:tc>
        <w:tc>
          <w:tcPr>
            <w:tcW w:w="1276" w:type="dxa"/>
          </w:tcPr>
          <w:p w14:paraId="28C2DEF5" w14:textId="77777777" w:rsidR="000850FC" w:rsidRPr="00CF71FB" w:rsidRDefault="000850FC" w:rsidP="00B324BD">
            <w:pPr>
              <w:spacing w:line="240" w:lineRule="auto"/>
              <w:rPr>
                <w:rFonts w:cs="Times New Roman"/>
              </w:rPr>
            </w:pPr>
            <w:r w:rsidRPr="00CF71FB">
              <w:rPr>
                <w:rFonts w:cs="Times New Roman"/>
              </w:rPr>
              <w:t>Nexus</w:t>
            </w:r>
          </w:p>
          <w:p w14:paraId="56F02575" w14:textId="77777777" w:rsidR="000850FC" w:rsidRPr="00CF71FB" w:rsidRDefault="000850FC" w:rsidP="00B324BD">
            <w:pPr>
              <w:spacing w:line="240" w:lineRule="auto"/>
              <w:rPr>
                <w:rFonts w:cs="Times New Roman"/>
              </w:rPr>
            </w:pPr>
            <w:r w:rsidRPr="00CF71FB">
              <w:rPr>
                <w:rFonts w:cs="Times New Roman"/>
              </w:rPr>
              <w:t>Plataforma propia.</w:t>
            </w:r>
          </w:p>
        </w:tc>
        <w:tc>
          <w:tcPr>
            <w:tcW w:w="3294" w:type="dxa"/>
          </w:tcPr>
          <w:p w14:paraId="55D9EC25" w14:textId="77777777" w:rsidR="000850FC" w:rsidRPr="00CF71FB" w:rsidRDefault="000850FC" w:rsidP="00B324BD">
            <w:pPr>
              <w:spacing w:line="240" w:lineRule="auto"/>
              <w:rPr>
                <w:rFonts w:cs="Times New Roman"/>
              </w:rPr>
            </w:pPr>
            <w:r w:rsidRPr="00CF71FB">
              <w:rPr>
                <w:rFonts w:cs="Times New Roman"/>
              </w:rPr>
              <w:t>Centrado en el aprendizaje.</w:t>
            </w:r>
          </w:p>
          <w:p w14:paraId="24451DD6" w14:textId="77777777" w:rsidR="000850FC" w:rsidRPr="00CF71FB" w:rsidRDefault="000850FC" w:rsidP="00B324BD">
            <w:pPr>
              <w:spacing w:line="240" w:lineRule="auto"/>
              <w:rPr>
                <w:rFonts w:cs="Times New Roman"/>
              </w:rPr>
            </w:pPr>
            <w:r w:rsidRPr="00CF71FB">
              <w:rPr>
                <w:rFonts w:cs="Times New Roman"/>
              </w:rPr>
              <w:t>Uso extensivo de las TIC.</w:t>
            </w:r>
          </w:p>
          <w:p w14:paraId="0A965EC8" w14:textId="77777777" w:rsidR="000850FC" w:rsidRPr="00CF71FB" w:rsidRDefault="000850FC" w:rsidP="00B324BD">
            <w:pPr>
              <w:spacing w:line="240" w:lineRule="auto"/>
              <w:rPr>
                <w:rFonts w:cs="Times New Roman"/>
              </w:rPr>
            </w:pPr>
            <w:r w:rsidRPr="00CF71FB">
              <w:rPr>
                <w:rFonts w:cs="Times New Roman"/>
              </w:rPr>
              <w:t>Fuerte enlace con el sistema de investigación, innovación y desarrollo tecnológico.</w:t>
            </w:r>
          </w:p>
        </w:tc>
      </w:tr>
      <w:tr w:rsidR="000850FC" w:rsidRPr="00CF71FB" w14:paraId="37BABE4F" w14:textId="77777777" w:rsidTr="00CF71FB">
        <w:trPr>
          <w:trHeight w:val="1107"/>
        </w:trPr>
        <w:tc>
          <w:tcPr>
            <w:tcW w:w="1526" w:type="dxa"/>
          </w:tcPr>
          <w:p w14:paraId="4428B8AE" w14:textId="0246F099" w:rsidR="000850FC" w:rsidRPr="00CF71FB" w:rsidRDefault="000850FC" w:rsidP="00B324BD">
            <w:pPr>
              <w:spacing w:line="240" w:lineRule="auto"/>
              <w:rPr>
                <w:rFonts w:cs="Times New Roman"/>
              </w:rPr>
            </w:pPr>
            <w:r w:rsidRPr="00CF71FB">
              <w:rPr>
                <w:rFonts w:cs="Times New Roman"/>
                <w:noProof/>
              </w:rPr>
              <w:t>Universidad Veracruzana</w:t>
            </w:r>
          </w:p>
        </w:tc>
        <w:tc>
          <w:tcPr>
            <w:tcW w:w="1984" w:type="dxa"/>
          </w:tcPr>
          <w:p w14:paraId="6941BF81" w14:textId="77777777" w:rsidR="000850FC" w:rsidRPr="00CF71FB" w:rsidRDefault="000850FC" w:rsidP="00B324BD">
            <w:pPr>
              <w:spacing w:line="240" w:lineRule="auto"/>
              <w:rPr>
                <w:rFonts w:cs="Times New Roman"/>
              </w:rPr>
            </w:pPr>
            <w:r w:rsidRPr="00CF71FB">
              <w:rPr>
                <w:rFonts w:cs="Times New Roman"/>
              </w:rPr>
              <w:t>Constructivista con tendencia sociocultural.</w:t>
            </w:r>
          </w:p>
        </w:tc>
        <w:tc>
          <w:tcPr>
            <w:tcW w:w="1418" w:type="dxa"/>
          </w:tcPr>
          <w:p w14:paraId="1A5C9EF8" w14:textId="77777777" w:rsidR="000850FC" w:rsidRPr="00CF71FB" w:rsidRDefault="000850FC" w:rsidP="00B324BD">
            <w:pPr>
              <w:spacing w:line="240" w:lineRule="auto"/>
              <w:rPr>
                <w:rFonts w:cs="Times New Roman"/>
              </w:rPr>
            </w:pPr>
            <w:r w:rsidRPr="00CF71FB">
              <w:rPr>
                <w:rFonts w:cs="Times New Roman"/>
              </w:rPr>
              <w:t>Totalmente en línea.</w:t>
            </w:r>
          </w:p>
        </w:tc>
        <w:tc>
          <w:tcPr>
            <w:tcW w:w="1276" w:type="dxa"/>
          </w:tcPr>
          <w:p w14:paraId="6E4B412B" w14:textId="77777777" w:rsidR="000850FC" w:rsidRPr="00CF71FB" w:rsidRDefault="000850FC" w:rsidP="00B324BD">
            <w:pPr>
              <w:spacing w:line="240" w:lineRule="auto"/>
              <w:rPr>
                <w:rFonts w:cs="Times New Roman"/>
              </w:rPr>
            </w:pPr>
            <w:r w:rsidRPr="00CF71FB">
              <w:rPr>
                <w:rFonts w:cs="Times New Roman"/>
              </w:rPr>
              <w:t>Eminus</w:t>
            </w:r>
          </w:p>
          <w:p w14:paraId="58100DD9" w14:textId="77777777" w:rsidR="000850FC" w:rsidRPr="00CF71FB" w:rsidRDefault="000850FC" w:rsidP="00B324BD">
            <w:pPr>
              <w:spacing w:line="240" w:lineRule="auto"/>
              <w:rPr>
                <w:rFonts w:cs="Times New Roman"/>
              </w:rPr>
            </w:pPr>
            <w:r w:rsidRPr="00CF71FB">
              <w:rPr>
                <w:rFonts w:cs="Times New Roman"/>
              </w:rPr>
              <w:t>Plataforma propia.</w:t>
            </w:r>
          </w:p>
        </w:tc>
        <w:tc>
          <w:tcPr>
            <w:tcW w:w="3294" w:type="dxa"/>
          </w:tcPr>
          <w:p w14:paraId="7AF02827" w14:textId="77777777" w:rsidR="000850FC" w:rsidRPr="00CF71FB" w:rsidRDefault="000850FC" w:rsidP="00B324BD">
            <w:pPr>
              <w:spacing w:line="240" w:lineRule="auto"/>
              <w:rPr>
                <w:rFonts w:cs="Times New Roman"/>
              </w:rPr>
            </w:pPr>
            <w:r w:rsidRPr="00CF71FB">
              <w:rPr>
                <w:rFonts w:cs="Times New Roman"/>
              </w:rPr>
              <w:t>Centrado en el estudiante.</w:t>
            </w:r>
          </w:p>
          <w:p w14:paraId="6A4156B4" w14:textId="77777777" w:rsidR="000850FC" w:rsidRPr="00CF71FB" w:rsidRDefault="000850FC" w:rsidP="00B324BD">
            <w:pPr>
              <w:spacing w:line="240" w:lineRule="auto"/>
              <w:rPr>
                <w:rFonts w:cs="Times New Roman"/>
              </w:rPr>
            </w:pPr>
            <w:r w:rsidRPr="00CF71FB">
              <w:rPr>
                <w:rFonts w:cs="Times New Roman"/>
              </w:rPr>
              <w:t>Uso extensivo de las TIC.</w:t>
            </w:r>
          </w:p>
          <w:p w14:paraId="67A81F04" w14:textId="77777777" w:rsidR="000850FC" w:rsidRPr="00CF71FB" w:rsidRDefault="000850FC" w:rsidP="00B324BD">
            <w:pPr>
              <w:spacing w:line="240" w:lineRule="auto"/>
              <w:rPr>
                <w:rFonts w:cs="Times New Roman"/>
              </w:rPr>
            </w:pPr>
            <w:r w:rsidRPr="00CF71FB">
              <w:rPr>
                <w:rFonts w:cs="Times New Roman"/>
              </w:rPr>
              <w:t>Apoyo de una división creadora de material educativo.</w:t>
            </w:r>
          </w:p>
        </w:tc>
      </w:tr>
      <w:tr w:rsidR="000850FC" w:rsidRPr="00CF71FB" w14:paraId="4761D835" w14:textId="77777777" w:rsidTr="00CF71FB">
        <w:trPr>
          <w:trHeight w:val="1095"/>
        </w:trPr>
        <w:tc>
          <w:tcPr>
            <w:tcW w:w="1526" w:type="dxa"/>
          </w:tcPr>
          <w:p w14:paraId="1223BF15" w14:textId="33D84512" w:rsidR="000850FC" w:rsidRPr="00CF71FB" w:rsidRDefault="000850FC" w:rsidP="00B324BD">
            <w:pPr>
              <w:spacing w:line="240" w:lineRule="auto"/>
              <w:rPr>
                <w:rFonts w:cs="Times New Roman"/>
              </w:rPr>
            </w:pPr>
            <w:r w:rsidRPr="00CF71FB">
              <w:rPr>
                <w:rFonts w:cs="Times New Roman"/>
                <w:noProof/>
              </w:rPr>
              <w:t>Universidad Autónoma de Zacatecas</w:t>
            </w:r>
          </w:p>
        </w:tc>
        <w:tc>
          <w:tcPr>
            <w:tcW w:w="1984" w:type="dxa"/>
          </w:tcPr>
          <w:p w14:paraId="00664F11" w14:textId="77777777" w:rsidR="000850FC" w:rsidRPr="00CF71FB" w:rsidRDefault="000850FC" w:rsidP="00B324BD">
            <w:pPr>
              <w:spacing w:line="240" w:lineRule="auto"/>
              <w:rPr>
                <w:rFonts w:cs="Times New Roman"/>
              </w:rPr>
            </w:pPr>
            <w:r w:rsidRPr="00CF71FB">
              <w:rPr>
                <w:rFonts w:cs="Times New Roman"/>
              </w:rPr>
              <w:t>Humanista con tendencias constructivista y multicultural.</w:t>
            </w:r>
          </w:p>
        </w:tc>
        <w:tc>
          <w:tcPr>
            <w:tcW w:w="1418" w:type="dxa"/>
          </w:tcPr>
          <w:p w14:paraId="6FF3E8C2" w14:textId="77777777" w:rsidR="000850FC" w:rsidRPr="00CF71FB" w:rsidRDefault="000850FC" w:rsidP="00B324BD">
            <w:pPr>
              <w:spacing w:line="240" w:lineRule="auto"/>
              <w:rPr>
                <w:rFonts w:cs="Times New Roman"/>
              </w:rPr>
            </w:pPr>
            <w:r w:rsidRPr="00CF71FB">
              <w:rPr>
                <w:rFonts w:cs="Times New Roman"/>
              </w:rPr>
              <w:t>Totalmente en línea.</w:t>
            </w:r>
          </w:p>
        </w:tc>
        <w:tc>
          <w:tcPr>
            <w:tcW w:w="1276" w:type="dxa"/>
          </w:tcPr>
          <w:p w14:paraId="7B355369" w14:textId="77777777" w:rsidR="000850FC" w:rsidRPr="00CF71FB" w:rsidRDefault="000850FC" w:rsidP="00B324BD">
            <w:pPr>
              <w:spacing w:line="240" w:lineRule="auto"/>
              <w:rPr>
                <w:rFonts w:cs="Times New Roman"/>
              </w:rPr>
            </w:pPr>
            <w:r w:rsidRPr="00CF71FB">
              <w:rPr>
                <w:rFonts w:cs="Times New Roman"/>
              </w:rPr>
              <w:t>Moodle</w:t>
            </w:r>
          </w:p>
        </w:tc>
        <w:tc>
          <w:tcPr>
            <w:tcW w:w="3294" w:type="dxa"/>
          </w:tcPr>
          <w:p w14:paraId="47CDD1D0" w14:textId="77777777" w:rsidR="000850FC" w:rsidRPr="00CF71FB" w:rsidRDefault="000850FC" w:rsidP="00B324BD">
            <w:pPr>
              <w:spacing w:line="240" w:lineRule="auto"/>
              <w:rPr>
                <w:rFonts w:cs="Times New Roman"/>
              </w:rPr>
            </w:pPr>
            <w:r w:rsidRPr="00CF71FB">
              <w:rPr>
                <w:rFonts w:cs="Times New Roman"/>
              </w:rPr>
              <w:t>Centrado en el aprendizaje.</w:t>
            </w:r>
          </w:p>
          <w:p w14:paraId="3DF6FD57" w14:textId="77777777" w:rsidR="000850FC" w:rsidRPr="00CF71FB" w:rsidRDefault="000850FC" w:rsidP="00B324BD">
            <w:pPr>
              <w:spacing w:line="240" w:lineRule="auto"/>
              <w:rPr>
                <w:rFonts w:cs="Times New Roman"/>
              </w:rPr>
            </w:pPr>
            <w:r w:rsidRPr="00CF71FB">
              <w:rPr>
                <w:rFonts w:cs="Times New Roman"/>
              </w:rPr>
              <w:t>Enfocado al desarrollo de competencias.</w:t>
            </w:r>
          </w:p>
        </w:tc>
      </w:tr>
      <w:tr w:rsidR="000850FC" w:rsidRPr="00CF71FB" w14:paraId="6D68F62F" w14:textId="77777777" w:rsidTr="00CF71FB">
        <w:trPr>
          <w:trHeight w:val="1448"/>
        </w:trPr>
        <w:tc>
          <w:tcPr>
            <w:tcW w:w="1526" w:type="dxa"/>
          </w:tcPr>
          <w:p w14:paraId="0FB04EC9" w14:textId="076ED52E" w:rsidR="000850FC" w:rsidRPr="00CF71FB" w:rsidRDefault="000850FC" w:rsidP="00B324BD">
            <w:pPr>
              <w:spacing w:line="240" w:lineRule="auto"/>
              <w:rPr>
                <w:rFonts w:cs="Times New Roman"/>
              </w:rPr>
            </w:pPr>
            <w:r w:rsidRPr="00CF71FB">
              <w:rPr>
                <w:rFonts w:cs="Times New Roman"/>
                <w:noProof/>
              </w:rPr>
              <w:t>Universidad Nacional Autónoma de México</w:t>
            </w:r>
          </w:p>
        </w:tc>
        <w:tc>
          <w:tcPr>
            <w:tcW w:w="1984" w:type="dxa"/>
          </w:tcPr>
          <w:p w14:paraId="79CB2D36" w14:textId="77777777" w:rsidR="000850FC" w:rsidRPr="00CF71FB" w:rsidRDefault="000850FC" w:rsidP="00B324BD">
            <w:pPr>
              <w:spacing w:line="240" w:lineRule="auto"/>
              <w:rPr>
                <w:rFonts w:cs="Times New Roman"/>
              </w:rPr>
            </w:pPr>
            <w:r w:rsidRPr="00CF71FB">
              <w:rPr>
                <w:rFonts w:cs="Times New Roman"/>
              </w:rPr>
              <w:t>Constructivista</w:t>
            </w:r>
          </w:p>
        </w:tc>
        <w:tc>
          <w:tcPr>
            <w:tcW w:w="1418" w:type="dxa"/>
          </w:tcPr>
          <w:p w14:paraId="029279AA" w14:textId="77777777" w:rsidR="000850FC" w:rsidRPr="00CF71FB" w:rsidRDefault="000850FC" w:rsidP="00B324BD">
            <w:pPr>
              <w:spacing w:line="240" w:lineRule="auto"/>
              <w:rPr>
                <w:rFonts w:cs="Times New Roman"/>
              </w:rPr>
            </w:pPr>
            <w:r w:rsidRPr="00CF71FB">
              <w:rPr>
                <w:rFonts w:cs="Times New Roman"/>
              </w:rPr>
              <w:t>Totalmente en línea.</w:t>
            </w:r>
          </w:p>
        </w:tc>
        <w:tc>
          <w:tcPr>
            <w:tcW w:w="1276" w:type="dxa"/>
          </w:tcPr>
          <w:p w14:paraId="48522AC6" w14:textId="77777777" w:rsidR="000850FC" w:rsidRPr="00CF71FB" w:rsidRDefault="000850FC" w:rsidP="00B324BD">
            <w:pPr>
              <w:spacing w:line="240" w:lineRule="auto"/>
              <w:rPr>
                <w:rFonts w:cs="Times New Roman"/>
              </w:rPr>
            </w:pPr>
            <w:r w:rsidRPr="00CF71FB">
              <w:rPr>
                <w:rFonts w:cs="Times New Roman"/>
              </w:rPr>
              <w:t>Moodle</w:t>
            </w:r>
          </w:p>
        </w:tc>
        <w:tc>
          <w:tcPr>
            <w:tcW w:w="3294" w:type="dxa"/>
          </w:tcPr>
          <w:p w14:paraId="133FDABB" w14:textId="77777777" w:rsidR="000850FC" w:rsidRPr="00CF71FB" w:rsidRDefault="000850FC" w:rsidP="00B324BD">
            <w:pPr>
              <w:spacing w:line="240" w:lineRule="auto"/>
              <w:rPr>
                <w:rFonts w:cs="Times New Roman"/>
              </w:rPr>
            </w:pPr>
            <w:r w:rsidRPr="00CF71FB">
              <w:rPr>
                <w:rFonts w:cs="Times New Roman"/>
              </w:rPr>
              <w:t>Centrado en el aprendizaje.</w:t>
            </w:r>
          </w:p>
          <w:p w14:paraId="13B6F886" w14:textId="77777777" w:rsidR="000850FC" w:rsidRPr="00CF71FB" w:rsidRDefault="000850FC" w:rsidP="00B324BD">
            <w:pPr>
              <w:spacing w:line="240" w:lineRule="auto"/>
              <w:rPr>
                <w:rFonts w:cs="Times New Roman"/>
              </w:rPr>
            </w:pPr>
            <w:r w:rsidRPr="00CF71FB">
              <w:rPr>
                <w:rFonts w:cs="Times New Roman"/>
              </w:rPr>
              <w:t>Uso extensivo de las TIC.</w:t>
            </w:r>
          </w:p>
        </w:tc>
      </w:tr>
    </w:tbl>
    <w:p w14:paraId="6EB94A2E" w14:textId="77777777" w:rsidR="000850FC" w:rsidRDefault="000850FC" w:rsidP="000850FC">
      <w:pPr>
        <w:jc w:val="center"/>
        <w:rPr>
          <w:rStyle w:val="CitaHTML"/>
          <w:i w:val="0"/>
        </w:rPr>
      </w:pPr>
      <w:r w:rsidRPr="00ED6DA0">
        <w:rPr>
          <w:rStyle w:val="CitaHTML"/>
          <w:i w:val="0"/>
        </w:rPr>
        <w:t xml:space="preserve">Fuente: Elaboración propia </w:t>
      </w:r>
    </w:p>
    <w:p w14:paraId="602ED43A" w14:textId="77777777" w:rsidR="00CF71FB" w:rsidRPr="00ED6DA0" w:rsidRDefault="00CF71FB" w:rsidP="00CF71FB">
      <w:pPr>
        <w:rPr>
          <w:rStyle w:val="CitaHTML"/>
          <w:i w:val="0"/>
        </w:rPr>
      </w:pPr>
    </w:p>
    <w:p w14:paraId="52F4F812" w14:textId="77777777" w:rsidR="000850FC" w:rsidRPr="0029590A" w:rsidRDefault="000850FC" w:rsidP="000850FC">
      <w:pPr>
        <w:jc w:val="center"/>
        <w:rPr>
          <w:rFonts w:cs="Times New Roman"/>
          <w:b/>
          <w:sz w:val="28"/>
          <w:szCs w:val="28"/>
          <w:lang w:val="es-ES"/>
        </w:rPr>
      </w:pPr>
      <w:r w:rsidRPr="0029590A">
        <w:rPr>
          <w:rFonts w:cs="Times New Roman"/>
          <w:b/>
          <w:sz w:val="28"/>
          <w:szCs w:val="28"/>
          <w:lang w:val="es-ES"/>
        </w:rPr>
        <w:t>La gestión</w:t>
      </w:r>
      <w:r w:rsidR="00C24069">
        <w:rPr>
          <w:rFonts w:cs="Times New Roman"/>
          <w:b/>
          <w:sz w:val="28"/>
          <w:szCs w:val="28"/>
          <w:lang w:val="es-ES"/>
        </w:rPr>
        <w:t xml:space="preserve"> </w:t>
      </w:r>
    </w:p>
    <w:p w14:paraId="1ADD9DB6" w14:textId="77777777" w:rsidR="000850FC" w:rsidRDefault="000850FC" w:rsidP="00C24069">
      <w:pPr>
        <w:ind w:firstLine="708"/>
      </w:pPr>
      <w:r>
        <w:rPr>
          <w:rFonts w:cs="Times New Roman"/>
          <w:lang w:val="es-ES"/>
        </w:rPr>
        <w:t xml:space="preserve">La información aportada por los gestores de los programas educativos indicó que </w:t>
      </w:r>
      <w:r>
        <w:t>81</w:t>
      </w:r>
      <w:r w:rsidR="00C24069">
        <w:t> </w:t>
      </w:r>
      <w:r>
        <w:t>% de las contrataciones docentes se enfoca</w:t>
      </w:r>
      <w:r w:rsidR="00C24069">
        <w:t>n</w:t>
      </w:r>
      <w:r>
        <w:t xml:space="preserve"> en el perfil profesional para la materia que se va a facilitar y en su capacidad para adoptar en su técnica de enseñanza el enfoque psicopedagógico imperante en el modelo educativo institucional. Hacen poco énfasis en solicitar al docente reportes periódicos de actividades y reportes de casos de estudiantes que requieran especial atención. Respecto al apoyo que ofrece la institución al docente para que cumpla con su función, se consideró que otorgan </w:t>
      </w:r>
      <w:r>
        <w:lastRenderedPageBreak/>
        <w:t>los recursos tecnológicos necesarios para desarrollar sus actividades, supervisión y retroalimentación sobre su desempeño.</w:t>
      </w:r>
    </w:p>
    <w:p w14:paraId="42F81A6C" w14:textId="41F4FEA8" w:rsidR="00C24069" w:rsidRDefault="000850FC" w:rsidP="000850FC">
      <w:pPr>
        <w:ind w:firstLine="708"/>
      </w:pPr>
      <w:r>
        <w:t xml:space="preserve">Los gestores indicaron que en 65 % de los casos dan apoyo a los docentes para la creación de materiales educativos para el curso, lo </w:t>
      </w:r>
      <w:r w:rsidR="00C24069">
        <w:t>que</w:t>
      </w:r>
      <w:r>
        <w:t xml:space="preserve"> implica que el docente debe invertir tiempo en desarrollar los materiales educativos </w:t>
      </w:r>
      <w:r w:rsidR="00C24069">
        <w:t>requeridos</w:t>
      </w:r>
      <w:r>
        <w:t xml:space="preserve">. En cuanto a </w:t>
      </w:r>
      <w:r w:rsidR="00C24069">
        <w:t xml:space="preserve">la </w:t>
      </w:r>
      <w:r>
        <w:t xml:space="preserve">capacitación docente específica, las instituciones ofrecen cursos sobre aspectos pedagógicos (76 %) y sociales (68 %), tienen menos atención en capacitación sobre actividades evaluativas y tecnológicas (60 %) y la actividad más desatendida es aquella que se refiere al manejo de aspectos administrativos en el curso (52 %). </w:t>
      </w:r>
    </w:p>
    <w:p w14:paraId="431A69C4" w14:textId="77777777" w:rsidR="000850FC" w:rsidRDefault="000850FC" w:rsidP="000850FC">
      <w:pPr>
        <w:ind w:firstLine="708"/>
      </w:pPr>
      <w:r>
        <w:t>En lo relacionado a políticas y lineamientos existentes en la institución sobre los aspectos clave de esta investigación, se encontró que hay más claridad en la actividad pedagógica y administrativa (80 %)</w:t>
      </w:r>
      <w:r w:rsidR="00C24069">
        <w:t xml:space="preserve"> y</w:t>
      </w:r>
      <w:r>
        <w:t xml:space="preserve"> menos claridad en las actividades sociales (76 %)</w:t>
      </w:r>
      <w:r w:rsidR="00C24069">
        <w:t>,</w:t>
      </w:r>
      <w:r>
        <w:t xml:space="preserve"> </w:t>
      </w:r>
      <w:r w:rsidR="00C24069">
        <w:t xml:space="preserve">mientras que </w:t>
      </w:r>
      <w:r>
        <w:t xml:space="preserve">las políticas y </w:t>
      </w:r>
      <w:r w:rsidR="00C24069">
        <w:t xml:space="preserve">los </w:t>
      </w:r>
      <w:r>
        <w:t>lineamientos con menor desarrollo son l</w:t>
      </w:r>
      <w:r w:rsidR="00C24069">
        <w:t>o</w:t>
      </w:r>
      <w:r>
        <w:t>s relacionadas con el aspecto tecnológico y evaluativo (72 %).</w:t>
      </w:r>
    </w:p>
    <w:p w14:paraId="67585772" w14:textId="77777777" w:rsidR="00C24069" w:rsidRDefault="00C24069" w:rsidP="000850FC">
      <w:pPr>
        <w:ind w:firstLine="708"/>
      </w:pPr>
    </w:p>
    <w:p w14:paraId="431FA90C" w14:textId="77777777" w:rsidR="000850FC" w:rsidRPr="0029590A" w:rsidRDefault="000850FC" w:rsidP="000850FC">
      <w:pPr>
        <w:jc w:val="center"/>
        <w:rPr>
          <w:rFonts w:cs="Times New Roman"/>
          <w:b/>
          <w:sz w:val="28"/>
          <w:szCs w:val="28"/>
          <w:lang w:val="es-ES"/>
        </w:rPr>
      </w:pPr>
      <w:r w:rsidRPr="0029590A">
        <w:rPr>
          <w:rFonts w:cs="Times New Roman"/>
          <w:b/>
          <w:sz w:val="28"/>
          <w:szCs w:val="28"/>
          <w:lang w:val="es-ES"/>
        </w:rPr>
        <w:t>Percepciones de los estudiantes</w:t>
      </w:r>
      <w:r w:rsidR="00C24069">
        <w:rPr>
          <w:rFonts w:cs="Times New Roman"/>
          <w:b/>
          <w:sz w:val="28"/>
          <w:szCs w:val="28"/>
          <w:lang w:val="es-ES"/>
        </w:rPr>
        <w:t xml:space="preserve"> </w:t>
      </w:r>
    </w:p>
    <w:p w14:paraId="30A51C22" w14:textId="4CB252B4" w:rsidR="000850FC" w:rsidRDefault="000850FC" w:rsidP="00C24069">
      <w:pPr>
        <w:ind w:firstLine="708"/>
        <w:rPr>
          <w:rFonts w:cs="Times New Roman"/>
          <w:lang w:val="es-ES"/>
        </w:rPr>
      </w:pPr>
      <w:r>
        <w:rPr>
          <w:rFonts w:cs="Times New Roman"/>
          <w:lang w:val="es-ES"/>
        </w:rPr>
        <w:t>Dada la dinámica establecida para la investigación</w:t>
      </w:r>
      <w:r w:rsidR="00C24069">
        <w:rPr>
          <w:rFonts w:cs="Times New Roman"/>
          <w:lang w:val="es-ES"/>
        </w:rPr>
        <w:t>,</w:t>
      </w:r>
      <w:r>
        <w:rPr>
          <w:rFonts w:cs="Times New Roman"/>
          <w:lang w:val="es-ES"/>
        </w:rPr>
        <w:t xml:space="preserve"> se tuvo </w:t>
      </w:r>
      <w:proofErr w:type="gramStart"/>
      <w:r>
        <w:rPr>
          <w:rFonts w:cs="Times New Roman"/>
          <w:lang w:val="es-ES"/>
        </w:rPr>
        <w:t>que</w:t>
      </w:r>
      <w:proofErr w:type="gramEnd"/>
      <w:r>
        <w:rPr>
          <w:rFonts w:cs="Times New Roman"/>
          <w:lang w:val="es-ES"/>
        </w:rPr>
        <w:t xml:space="preserve"> de los 64 ítems, 57 obtuvieron una media mayor a cuatro (más de 81 % a 100 % de competencia)</w:t>
      </w:r>
      <w:r w:rsidR="00C24069">
        <w:rPr>
          <w:rFonts w:cs="Times New Roman"/>
          <w:lang w:val="es-ES"/>
        </w:rPr>
        <w:t>,</w:t>
      </w:r>
      <w:r>
        <w:rPr>
          <w:rFonts w:cs="Times New Roman"/>
          <w:lang w:val="es-ES"/>
        </w:rPr>
        <w:t xml:space="preserve"> </w:t>
      </w:r>
      <w:r w:rsidR="007A7428">
        <w:rPr>
          <w:rFonts w:cs="Times New Roman"/>
          <w:lang w:val="es-ES"/>
        </w:rPr>
        <w:t>seis</w:t>
      </w:r>
      <w:r>
        <w:rPr>
          <w:rFonts w:cs="Times New Roman"/>
          <w:lang w:val="es-ES"/>
        </w:rPr>
        <w:t xml:space="preserve"> tuvieron una media muy cercana a cuatro y </w:t>
      </w:r>
      <w:r w:rsidR="007A7428">
        <w:rPr>
          <w:rFonts w:cs="Times New Roman"/>
          <w:lang w:val="es-ES"/>
        </w:rPr>
        <w:t>uno</w:t>
      </w:r>
      <w:r>
        <w:rPr>
          <w:rFonts w:cs="Times New Roman"/>
          <w:lang w:val="es-ES"/>
        </w:rPr>
        <w:t xml:space="preserve"> tuvo una media de 3.06 (61 % a 80 %), lo que </w:t>
      </w:r>
      <w:r w:rsidR="00C24069">
        <w:rPr>
          <w:rFonts w:cs="Times New Roman"/>
          <w:lang w:val="es-ES"/>
        </w:rPr>
        <w:t>significa</w:t>
      </w:r>
      <w:r>
        <w:rPr>
          <w:rFonts w:cs="Times New Roman"/>
          <w:lang w:val="es-ES"/>
        </w:rPr>
        <w:t xml:space="preserve"> que todos los estudiantes pudieron identificar a un docente altamente competente de acuerdo </w:t>
      </w:r>
      <w:r w:rsidR="00C24069">
        <w:rPr>
          <w:rFonts w:cs="Times New Roman"/>
          <w:lang w:val="es-ES"/>
        </w:rPr>
        <w:t xml:space="preserve">con el </w:t>
      </w:r>
      <w:r>
        <w:rPr>
          <w:rFonts w:cs="Times New Roman"/>
          <w:lang w:val="es-ES"/>
        </w:rPr>
        <w:t>modelo teórico de competencias propuesto.</w:t>
      </w:r>
    </w:p>
    <w:p w14:paraId="493517F9" w14:textId="77777777" w:rsidR="000850FC" w:rsidRDefault="00C24069" w:rsidP="000850FC">
      <w:pPr>
        <w:ind w:firstLine="708"/>
        <w:rPr>
          <w:rFonts w:cs="Times New Roman"/>
          <w:lang w:eastAsia="es-ES"/>
        </w:rPr>
      </w:pPr>
      <w:r>
        <w:t>El</w:t>
      </w:r>
      <w:r w:rsidR="000850FC">
        <w:t xml:space="preserve"> análisis de correlación de Spearman muestra un nivel de correlación elevado entre las competencias pedagógica</w:t>
      </w:r>
      <w:r>
        <w:t>s</w:t>
      </w:r>
      <w:r w:rsidR="000850FC">
        <w:t>, social</w:t>
      </w:r>
      <w:r>
        <w:t>es</w:t>
      </w:r>
      <w:r w:rsidR="000850FC">
        <w:t xml:space="preserve"> y administrativa</w:t>
      </w:r>
      <w:r>
        <w:t>s</w:t>
      </w:r>
      <w:r w:rsidR="000850FC">
        <w:t>, menos fuertes con la competencia tecnológica</w:t>
      </w:r>
      <w:r>
        <w:t>,</w:t>
      </w:r>
      <w:r w:rsidR="000850FC">
        <w:t xml:space="preserve"> y las correlaciones más débiles corresponden a la </w:t>
      </w:r>
      <w:r w:rsidR="000850FC" w:rsidRPr="00643D4D">
        <w:t>competenci</w:t>
      </w:r>
      <w:r w:rsidR="000850FC">
        <w:t>a evaluativa (</w:t>
      </w:r>
      <w:r>
        <w:t>t</w:t>
      </w:r>
      <w:r w:rsidR="000850FC">
        <w:t>abla 6). Como puede verse</w:t>
      </w:r>
      <w:r>
        <w:t>,</w:t>
      </w:r>
      <w:r w:rsidR="000850FC">
        <w:t xml:space="preserve"> existe una correlación significativa entre todas las competencias, aunque la correlación más débil se presenta con la competencia evaluativa</w:t>
      </w:r>
      <w:r>
        <w:t>,</w:t>
      </w:r>
      <w:r w:rsidR="000850FC">
        <w:t xml:space="preserve"> por lo que se rechaza la hipótesis nula (H1)</w:t>
      </w:r>
      <w:r>
        <w:t>,</w:t>
      </w:r>
      <w:r w:rsidR="000850FC">
        <w:t xml:space="preserve"> ya que sí existe correlación entre todas las competencias</w:t>
      </w:r>
      <w:r>
        <w:t xml:space="preserve">. Por tanto, </w:t>
      </w:r>
      <w:r w:rsidR="000850FC">
        <w:t xml:space="preserve">un </w:t>
      </w:r>
      <w:r w:rsidR="000850FC" w:rsidRPr="00071C2A">
        <w:rPr>
          <w:rFonts w:cs="Times New Roman"/>
          <w:lang w:eastAsia="es-ES"/>
        </w:rPr>
        <w:t>modelo de competencias específicas para la docencia en línea en universidades públicas de México debe considerar el desarrollo de competencias pedagógicas, sociales, administrativas, tecnológicas y evaluativas</w:t>
      </w:r>
      <w:r w:rsidR="000850FC">
        <w:rPr>
          <w:rFonts w:cs="Times New Roman"/>
          <w:lang w:eastAsia="es-ES"/>
        </w:rPr>
        <w:t>.</w:t>
      </w:r>
    </w:p>
    <w:p w14:paraId="14E57A36" w14:textId="609B80DA" w:rsidR="00C24069" w:rsidRDefault="00C24069" w:rsidP="000850FC">
      <w:pPr>
        <w:ind w:firstLine="708"/>
        <w:rPr>
          <w:rFonts w:cs="Times New Roman"/>
          <w:lang w:val="es-ES"/>
        </w:rPr>
      </w:pPr>
    </w:p>
    <w:p w14:paraId="48AB075B" w14:textId="644617EE" w:rsidR="00727258" w:rsidRDefault="00727258" w:rsidP="000850FC">
      <w:pPr>
        <w:ind w:firstLine="708"/>
        <w:rPr>
          <w:rFonts w:cs="Times New Roman"/>
          <w:lang w:val="es-ES"/>
        </w:rPr>
      </w:pPr>
    </w:p>
    <w:p w14:paraId="7010F88C" w14:textId="77777777" w:rsidR="00727258" w:rsidRPr="0029590A" w:rsidRDefault="00727258" w:rsidP="000850FC">
      <w:pPr>
        <w:ind w:firstLine="708"/>
        <w:rPr>
          <w:rFonts w:cs="Times New Roman"/>
          <w:lang w:val="es-ES"/>
        </w:rPr>
      </w:pPr>
    </w:p>
    <w:p w14:paraId="428E196C" w14:textId="77777777" w:rsidR="000850FC" w:rsidRPr="00ED6DA0" w:rsidRDefault="000850FC" w:rsidP="00C24069">
      <w:pPr>
        <w:pStyle w:val="Ttulo7"/>
        <w:jc w:val="center"/>
      </w:pPr>
      <w:bookmarkStart w:id="3" w:name="_Toc300909789"/>
      <w:r w:rsidRPr="00C24069">
        <w:rPr>
          <w:b/>
        </w:rPr>
        <w:lastRenderedPageBreak/>
        <w:t xml:space="preserve">Tabla </w:t>
      </w:r>
      <w:bookmarkEnd w:id="3"/>
      <w:r w:rsidRPr="00C24069">
        <w:rPr>
          <w:b/>
        </w:rPr>
        <w:t>6.</w:t>
      </w:r>
      <w:r w:rsidRPr="00BD2500">
        <w:t xml:space="preserve"> </w:t>
      </w:r>
      <w:bookmarkStart w:id="4" w:name="_Toc300909790"/>
      <w:r w:rsidRPr="00ED6DA0">
        <w:t>Correlaciones generales entre competencias</w:t>
      </w:r>
      <w:bookmarkEnd w:id="4"/>
    </w:p>
    <w:tbl>
      <w:tblPr>
        <w:tblW w:w="7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80"/>
        <w:gridCol w:w="1329"/>
        <w:gridCol w:w="1040"/>
        <w:gridCol w:w="1580"/>
        <w:gridCol w:w="1385"/>
        <w:gridCol w:w="1197"/>
      </w:tblGrid>
      <w:tr w:rsidR="00CF71FB" w:rsidRPr="00CF71FB" w14:paraId="3092DF25" w14:textId="77777777" w:rsidTr="00CF71FB">
        <w:trPr>
          <w:trHeight w:val="300"/>
          <w:jc w:val="center"/>
        </w:trPr>
        <w:tc>
          <w:tcPr>
            <w:tcW w:w="1460" w:type="dxa"/>
            <w:noWrap/>
            <w:vAlign w:val="bottom"/>
          </w:tcPr>
          <w:p w14:paraId="607219BA" w14:textId="77777777" w:rsidR="000850FC" w:rsidRPr="00CF71FB" w:rsidRDefault="000850FC" w:rsidP="00B324BD">
            <w:pPr>
              <w:spacing w:line="240" w:lineRule="auto"/>
              <w:rPr>
                <w:color w:val="000000" w:themeColor="text1"/>
                <w:lang w:eastAsia="es-ES"/>
              </w:rPr>
            </w:pPr>
          </w:p>
          <w:p w14:paraId="1451D814" w14:textId="77777777" w:rsidR="000850FC" w:rsidRPr="00CF71FB" w:rsidRDefault="000850FC" w:rsidP="00B324BD">
            <w:pPr>
              <w:spacing w:line="240" w:lineRule="auto"/>
              <w:rPr>
                <w:color w:val="000000" w:themeColor="text1"/>
                <w:lang w:eastAsia="es-ES"/>
              </w:rPr>
            </w:pPr>
          </w:p>
        </w:tc>
        <w:tc>
          <w:tcPr>
            <w:tcW w:w="6411" w:type="dxa"/>
            <w:gridSpan w:val="5"/>
            <w:noWrap/>
            <w:vAlign w:val="bottom"/>
          </w:tcPr>
          <w:p w14:paraId="22DB3323"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Todos los grupos</w:t>
            </w:r>
          </w:p>
          <w:p w14:paraId="4E457E36"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Correlación de Orden de Rangos de Spearman</w:t>
            </w:r>
          </w:p>
          <w:p w14:paraId="5B07B5CE"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Las correlaciones marcadas en rojo son significativas a p &lt;.</w:t>
            </w:r>
            <w:r w:rsidR="00271854" w:rsidRPr="00CF71FB">
              <w:rPr>
                <w:color w:val="000000" w:themeColor="text1"/>
                <w:lang w:eastAsia="es-ES"/>
              </w:rPr>
              <w:t xml:space="preserve"> </w:t>
            </w:r>
            <w:r w:rsidRPr="00CF71FB">
              <w:rPr>
                <w:color w:val="000000" w:themeColor="text1"/>
                <w:lang w:eastAsia="es-ES"/>
              </w:rPr>
              <w:t>05000</w:t>
            </w:r>
          </w:p>
          <w:p w14:paraId="51D69805"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87 casos</w:t>
            </w:r>
          </w:p>
        </w:tc>
      </w:tr>
      <w:tr w:rsidR="00CF71FB" w:rsidRPr="00CF71FB" w14:paraId="15FA383D" w14:textId="77777777" w:rsidTr="00CF71FB">
        <w:trPr>
          <w:trHeight w:val="300"/>
          <w:jc w:val="center"/>
        </w:trPr>
        <w:tc>
          <w:tcPr>
            <w:tcW w:w="1460" w:type="dxa"/>
            <w:noWrap/>
            <w:vAlign w:val="bottom"/>
          </w:tcPr>
          <w:p w14:paraId="0D87546E"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Variable</w:t>
            </w:r>
          </w:p>
        </w:tc>
        <w:tc>
          <w:tcPr>
            <w:tcW w:w="1329" w:type="dxa"/>
            <w:noWrap/>
            <w:vAlign w:val="bottom"/>
          </w:tcPr>
          <w:p w14:paraId="1BBEA61A"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Pedagógica</w:t>
            </w:r>
          </w:p>
        </w:tc>
        <w:tc>
          <w:tcPr>
            <w:tcW w:w="1040" w:type="dxa"/>
            <w:noWrap/>
            <w:vAlign w:val="bottom"/>
          </w:tcPr>
          <w:p w14:paraId="7BF6F860"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Social</w:t>
            </w:r>
          </w:p>
        </w:tc>
        <w:tc>
          <w:tcPr>
            <w:tcW w:w="1460" w:type="dxa"/>
            <w:noWrap/>
            <w:vAlign w:val="bottom"/>
          </w:tcPr>
          <w:p w14:paraId="4CA37F46"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Administrativa</w:t>
            </w:r>
          </w:p>
        </w:tc>
        <w:tc>
          <w:tcPr>
            <w:tcW w:w="1385" w:type="dxa"/>
            <w:noWrap/>
            <w:vAlign w:val="bottom"/>
          </w:tcPr>
          <w:p w14:paraId="375678C5"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Tecnológica</w:t>
            </w:r>
          </w:p>
        </w:tc>
        <w:tc>
          <w:tcPr>
            <w:tcW w:w="1197" w:type="dxa"/>
            <w:noWrap/>
            <w:vAlign w:val="bottom"/>
          </w:tcPr>
          <w:p w14:paraId="0B63FD54" w14:textId="77777777" w:rsidR="000850FC" w:rsidRPr="00CF71FB" w:rsidRDefault="000850FC" w:rsidP="00B324BD">
            <w:pPr>
              <w:spacing w:line="240" w:lineRule="auto"/>
              <w:jc w:val="center"/>
              <w:rPr>
                <w:color w:val="000000" w:themeColor="text1"/>
                <w:lang w:eastAsia="es-ES"/>
              </w:rPr>
            </w:pPr>
            <w:r w:rsidRPr="00CF71FB">
              <w:rPr>
                <w:color w:val="000000" w:themeColor="text1"/>
                <w:lang w:eastAsia="es-ES"/>
              </w:rPr>
              <w:t>Evaluativa</w:t>
            </w:r>
          </w:p>
        </w:tc>
      </w:tr>
      <w:tr w:rsidR="00CF71FB" w:rsidRPr="00CF71FB" w14:paraId="1714A744" w14:textId="77777777" w:rsidTr="00CF71FB">
        <w:trPr>
          <w:trHeight w:val="300"/>
          <w:jc w:val="center"/>
        </w:trPr>
        <w:tc>
          <w:tcPr>
            <w:tcW w:w="1460" w:type="dxa"/>
            <w:noWrap/>
            <w:vAlign w:val="bottom"/>
          </w:tcPr>
          <w:p w14:paraId="3B4C42E5" w14:textId="77777777" w:rsidR="000850FC" w:rsidRPr="00CF71FB" w:rsidRDefault="000850FC" w:rsidP="00B324BD">
            <w:pPr>
              <w:spacing w:line="240" w:lineRule="auto"/>
              <w:rPr>
                <w:color w:val="000000" w:themeColor="text1"/>
                <w:lang w:eastAsia="es-ES"/>
              </w:rPr>
            </w:pPr>
            <w:r w:rsidRPr="00CF71FB">
              <w:rPr>
                <w:color w:val="000000" w:themeColor="text1"/>
                <w:lang w:eastAsia="es-ES"/>
              </w:rPr>
              <w:t>Pedagógica</w:t>
            </w:r>
          </w:p>
        </w:tc>
        <w:tc>
          <w:tcPr>
            <w:tcW w:w="1329" w:type="dxa"/>
            <w:noWrap/>
            <w:vAlign w:val="center"/>
          </w:tcPr>
          <w:p w14:paraId="77AF10A6"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1.000000</w:t>
            </w:r>
          </w:p>
        </w:tc>
        <w:tc>
          <w:tcPr>
            <w:tcW w:w="1040" w:type="dxa"/>
            <w:noWrap/>
            <w:vAlign w:val="center"/>
          </w:tcPr>
          <w:p w14:paraId="121E98C2"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0.717423</w:t>
            </w:r>
          </w:p>
        </w:tc>
        <w:tc>
          <w:tcPr>
            <w:tcW w:w="1460" w:type="dxa"/>
            <w:noWrap/>
            <w:vAlign w:val="center"/>
          </w:tcPr>
          <w:p w14:paraId="3AD7060C"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0.745703</w:t>
            </w:r>
          </w:p>
        </w:tc>
        <w:tc>
          <w:tcPr>
            <w:tcW w:w="1385" w:type="dxa"/>
            <w:noWrap/>
            <w:vAlign w:val="center"/>
          </w:tcPr>
          <w:p w14:paraId="660FBD58"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0.588504</w:t>
            </w:r>
          </w:p>
        </w:tc>
        <w:tc>
          <w:tcPr>
            <w:tcW w:w="1197" w:type="dxa"/>
            <w:noWrap/>
            <w:vAlign w:val="center"/>
          </w:tcPr>
          <w:p w14:paraId="04DFC1A6"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0.422554</w:t>
            </w:r>
          </w:p>
        </w:tc>
      </w:tr>
      <w:tr w:rsidR="00CF71FB" w:rsidRPr="00CF71FB" w14:paraId="50699CBA" w14:textId="77777777" w:rsidTr="00CF71FB">
        <w:trPr>
          <w:trHeight w:val="300"/>
          <w:jc w:val="center"/>
        </w:trPr>
        <w:tc>
          <w:tcPr>
            <w:tcW w:w="1460" w:type="dxa"/>
            <w:noWrap/>
            <w:vAlign w:val="bottom"/>
          </w:tcPr>
          <w:p w14:paraId="0E61AAC1" w14:textId="77777777" w:rsidR="000850FC" w:rsidRPr="00CF71FB" w:rsidRDefault="000850FC" w:rsidP="00B324BD">
            <w:pPr>
              <w:spacing w:line="240" w:lineRule="auto"/>
              <w:rPr>
                <w:color w:val="000000" w:themeColor="text1"/>
                <w:lang w:eastAsia="es-ES"/>
              </w:rPr>
            </w:pPr>
            <w:r w:rsidRPr="00CF71FB">
              <w:rPr>
                <w:color w:val="000000" w:themeColor="text1"/>
                <w:lang w:eastAsia="es-ES"/>
              </w:rPr>
              <w:t xml:space="preserve">Social </w:t>
            </w:r>
          </w:p>
        </w:tc>
        <w:tc>
          <w:tcPr>
            <w:tcW w:w="1329" w:type="dxa"/>
            <w:noWrap/>
            <w:vAlign w:val="center"/>
          </w:tcPr>
          <w:p w14:paraId="53E079CA"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0.717423</w:t>
            </w:r>
          </w:p>
        </w:tc>
        <w:tc>
          <w:tcPr>
            <w:tcW w:w="1040" w:type="dxa"/>
            <w:noWrap/>
            <w:vAlign w:val="center"/>
          </w:tcPr>
          <w:p w14:paraId="65AD25C1"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1.000000</w:t>
            </w:r>
          </w:p>
        </w:tc>
        <w:tc>
          <w:tcPr>
            <w:tcW w:w="1460" w:type="dxa"/>
            <w:noWrap/>
            <w:vAlign w:val="center"/>
          </w:tcPr>
          <w:p w14:paraId="3E8E421E"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0.788144</w:t>
            </w:r>
          </w:p>
        </w:tc>
        <w:tc>
          <w:tcPr>
            <w:tcW w:w="1385" w:type="dxa"/>
            <w:noWrap/>
            <w:vAlign w:val="center"/>
          </w:tcPr>
          <w:p w14:paraId="728B4D0A"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0.599497</w:t>
            </w:r>
          </w:p>
        </w:tc>
        <w:tc>
          <w:tcPr>
            <w:tcW w:w="1197" w:type="dxa"/>
            <w:noWrap/>
            <w:vAlign w:val="center"/>
          </w:tcPr>
          <w:p w14:paraId="65177829"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0.509554</w:t>
            </w:r>
          </w:p>
        </w:tc>
      </w:tr>
      <w:tr w:rsidR="00CF71FB" w:rsidRPr="00CF71FB" w14:paraId="7DA4700B" w14:textId="77777777" w:rsidTr="00CF71FB">
        <w:trPr>
          <w:trHeight w:val="300"/>
          <w:jc w:val="center"/>
        </w:trPr>
        <w:tc>
          <w:tcPr>
            <w:tcW w:w="1460" w:type="dxa"/>
            <w:noWrap/>
            <w:vAlign w:val="bottom"/>
          </w:tcPr>
          <w:p w14:paraId="7EAE719F" w14:textId="77777777" w:rsidR="000850FC" w:rsidRPr="00CF71FB" w:rsidRDefault="000850FC" w:rsidP="00B324BD">
            <w:pPr>
              <w:spacing w:line="240" w:lineRule="auto"/>
              <w:rPr>
                <w:color w:val="000000" w:themeColor="text1"/>
                <w:lang w:eastAsia="es-ES"/>
              </w:rPr>
            </w:pPr>
            <w:r w:rsidRPr="00CF71FB">
              <w:rPr>
                <w:color w:val="000000" w:themeColor="text1"/>
                <w:lang w:eastAsia="es-ES"/>
              </w:rPr>
              <w:t>Administrativa</w:t>
            </w:r>
          </w:p>
        </w:tc>
        <w:tc>
          <w:tcPr>
            <w:tcW w:w="1329" w:type="dxa"/>
            <w:noWrap/>
            <w:vAlign w:val="center"/>
          </w:tcPr>
          <w:p w14:paraId="0549C9BD"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0.745703</w:t>
            </w:r>
          </w:p>
        </w:tc>
        <w:tc>
          <w:tcPr>
            <w:tcW w:w="1040" w:type="dxa"/>
            <w:noWrap/>
            <w:vAlign w:val="center"/>
          </w:tcPr>
          <w:p w14:paraId="7ACD1D91"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0.788144</w:t>
            </w:r>
          </w:p>
        </w:tc>
        <w:tc>
          <w:tcPr>
            <w:tcW w:w="1460" w:type="dxa"/>
            <w:noWrap/>
            <w:vAlign w:val="center"/>
          </w:tcPr>
          <w:p w14:paraId="29F42F93"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1.000000</w:t>
            </w:r>
          </w:p>
        </w:tc>
        <w:tc>
          <w:tcPr>
            <w:tcW w:w="1385" w:type="dxa"/>
            <w:noWrap/>
            <w:vAlign w:val="center"/>
          </w:tcPr>
          <w:p w14:paraId="17D1E376"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0.758757</w:t>
            </w:r>
          </w:p>
        </w:tc>
        <w:tc>
          <w:tcPr>
            <w:tcW w:w="1197" w:type="dxa"/>
            <w:noWrap/>
            <w:vAlign w:val="center"/>
          </w:tcPr>
          <w:p w14:paraId="6A0FDD29"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0.486773</w:t>
            </w:r>
          </w:p>
        </w:tc>
      </w:tr>
      <w:tr w:rsidR="00CF71FB" w:rsidRPr="00CF71FB" w14:paraId="1537B8B9" w14:textId="77777777" w:rsidTr="00CF71FB">
        <w:trPr>
          <w:trHeight w:val="300"/>
          <w:jc w:val="center"/>
        </w:trPr>
        <w:tc>
          <w:tcPr>
            <w:tcW w:w="1460" w:type="dxa"/>
            <w:noWrap/>
            <w:vAlign w:val="bottom"/>
          </w:tcPr>
          <w:p w14:paraId="286B4365" w14:textId="77777777" w:rsidR="000850FC" w:rsidRPr="00CF71FB" w:rsidRDefault="000850FC" w:rsidP="00B324BD">
            <w:pPr>
              <w:spacing w:line="240" w:lineRule="auto"/>
              <w:rPr>
                <w:color w:val="000000" w:themeColor="text1"/>
                <w:lang w:eastAsia="es-ES"/>
              </w:rPr>
            </w:pPr>
            <w:r w:rsidRPr="00CF71FB">
              <w:rPr>
                <w:color w:val="000000" w:themeColor="text1"/>
                <w:lang w:eastAsia="es-ES"/>
              </w:rPr>
              <w:t>Tecnológica</w:t>
            </w:r>
          </w:p>
        </w:tc>
        <w:tc>
          <w:tcPr>
            <w:tcW w:w="1329" w:type="dxa"/>
            <w:noWrap/>
            <w:vAlign w:val="center"/>
          </w:tcPr>
          <w:p w14:paraId="360534A9"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0.588504</w:t>
            </w:r>
          </w:p>
        </w:tc>
        <w:tc>
          <w:tcPr>
            <w:tcW w:w="1040" w:type="dxa"/>
            <w:noWrap/>
            <w:vAlign w:val="center"/>
          </w:tcPr>
          <w:p w14:paraId="00C20F5D"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0.599497</w:t>
            </w:r>
          </w:p>
        </w:tc>
        <w:tc>
          <w:tcPr>
            <w:tcW w:w="1460" w:type="dxa"/>
            <w:noWrap/>
            <w:vAlign w:val="center"/>
          </w:tcPr>
          <w:p w14:paraId="2FD41FB4"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0.758757</w:t>
            </w:r>
          </w:p>
        </w:tc>
        <w:tc>
          <w:tcPr>
            <w:tcW w:w="1385" w:type="dxa"/>
            <w:noWrap/>
            <w:vAlign w:val="center"/>
          </w:tcPr>
          <w:p w14:paraId="77D109B7"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1.000000</w:t>
            </w:r>
          </w:p>
        </w:tc>
        <w:tc>
          <w:tcPr>
            <w:tcW w:w="1197" w:type="dxa"/>
            <w:noWrap/>
            <w:vAlign w:val="center"/>
          </w:tcPr>
          <w:p w14:paraId="296EA835"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0.378683</w:t>
            </w:r>
          </w:p>
        </w:tc>
      </w:tr>
      <w:tr w:rsidR="00CF71FB" w:rsidRPr="00CF71FB" w14:paraId="6E646B33" w14:textId="77777777" w:rsidTr="00CF71FB">
        <w:trPr>
          <w:trHeight w:val="300"/>
          <w:jc w:val="center"/>
        </w:trPr>
        <w:tc>
          <w:tcPr>
            <w:tcW w:w="1460" w:type="dxa"/>
            <w:noWrap/>
            <w:vAlign w:val="bottom"/>
          </w:tcPr>
          <w:p w14:paraId="15B63EEB" w14:textId="77777777" w:rsidR="000850FC" w:rsidRPr="00CF71FB" w:rsidRDefault="000850FC" w:rsidP="00B324BD">
            <w:pPr>
              <w:spacing w:line="240" w:lineRule="auto"/>
              <w:rPr>
                <w:color w:val="000000" w:themeColor="text1"/>
                <w:lang w:eastAsia="es-ES"/>
              </w:rPr>
            </w:pPr>
            <w:r w:rsidRPr="00CF71FB">
              <w:rPr>
                <w:color w:val="000000" w:themeColor="text1"/>
                <w:lang w:eastAsia="es-ES"/>
              </w:rPr>
              <w:t>Evaluativa</w:t>
            </w:r>
          </w:p>
        </w:tc>
        <w:tc>
          <w:tcPr>
            <w:tcW w:w="1329" w:type="dxa"/>
            <w:noWrap/>
            <w:vAlign w:val="center"/>
          </w:tcPr>
          <w:p w14:paraId="0B986935"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0.422554</w:t>
            </w:r>
          </w:p>
        </w:tc>
        <w:tc>
          <w:tcPr>
            <w:tcW w:w="1040" w:type="dxa"/>
            <w:noWrap/>
            <w:vAlign w:val="center"/>
          </w:tcPr>
          <w:p w14:paraId="7108D3B1"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0.509554</w:t>
            </w:r>
          </w:p>
        </w:tc>
        <w:tc>
          <w:tcPr>
            <w:tcW w:w="1460" w:type="dxa"/>
            <w:noWrap/>
            <w:vAlign w:val="center"/>
          </w:tcPr>
          <w:p w14:paraId="7AAE2B67"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0.486773</w:t>
            </w:r>
          </w:p>
        </w:tc>
        <w:tc>
          <w:tcPr>
            <w:tcW w:w="1385" w:type="dxa"/>
            <w:noWrap/>
            <w:vAlign w:val="center"/>
          </w:tcPr>
          <w:p w14:paraId="06C4033C"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0.378683</w:t>
            </w:r>
          </w:p>
        </w:tc>
        <w:tc>
          <w:tcPr>
            <w:tcW w:w="1197" w:type="dxa"/>
            <w:noWrap/>
            <w:vAlign w:val="center"/>
          </w:tcPr>
          <w:p w14:paraId="28BCCF2B" w14:textId="77777777" w:rsidR="000850FC" w:rsidRPr="00CF71FB" w:rsidRDefault="000850FC" w:rsidP="00B324BD">
            <w:pPr>
              <w:spacing w:line="240" w:lineRule="auto"/>
              <w:jc w:val="right"/>
              <w:rPr>
                <w:color w:val="000000" w:themeColor="text1"/>
                <w:lang w:eastAsia="es-ES"/>
              </w:rPr>
            </w:pPr>
            <w:r w:rsidRPr="00CF71FB">
              <w:rPr>
                <w:color w:val="000000" w:themeColor="text1"/>
                <w:lang w:eastAsia="es-ES"/>
              </w:rPr>
              <w:t>1.000000</w:t>
            </w:r>
          </w:p>
        </w:tc>
      </w:tr>
    </w:tbl>
    <w:p w14:paraId="1D7187C7" w14:textId="77777777" w:rsidR="000850FC" w:rsidRPr="00ED6DA0" w:rsidRDefault="000850FC" w:rsidP="000850FC">
      <w:pPr>
        <w:jc w:val="center"/>
      </w:pPr>
      <w:r w:rsidRPr="00ED6DA0">
        <w:t>Fuente: Elaboración propia</w:t>
      </w:r>
    </w:p>
    <w:p w14:paraId="2772A7B3" w14:textId="05CA2D5A" w:rsidR="000850FC" w:rsidRPr="00CF71FB" w:rsidRDefault="000850FC" w:rsidP="000850FC">
      <w:pPr>
        <w:ind w:firstLine="708"/>
      </w:pPr>
      <w:r w:rsidRPr="00CF71FB">
        <w:rPr>
          <w:rFonts w:cs="Times New Roman"/>
          <w:lang w:val="es-ES"/>
        </w:rPr>
        <w:t xml:space="preserve">El análisis factorial confirmatorio ofreció datos similares a los del análisis exploratorio, donde </w:t>
      </w:r>
      <w:r w:rsidR="00271854" w:rsidRPr="00CF71FB">
        <w:rPr>
          <w:rFonts w:cs="Times New Roman"/>
          <w:lang w:val="es-ES"/>
        </w:rPr>
        <w:t>tres</w:t>
      </w:r>
      <w:r w:rsidRPr="00CF71FB">
        <w:rPr>
          <w:rFonts w:cs="Times New Roman"/>
          <w:lang w:val="es-ES"/>
        </w:rPr>
        <w:t xml:space="preserve"> factores ayudan a explicar 54.47 % de la varianza de los datos, </w:t>
      </w:r>
      <w:r w:rsidRPr="00CF71FB">
        <w:t xml:space="preserve">una síntesis de las actividades a que se refieren los </w:t>
      </w:r>
      <w:r w:rsidR="00271854" w:rsidRPr="00CF71FB">
        <w:t>ítems</w:t>
      </w:r>
      <w:r w:rsidRPr="00CF71FB">
        <w:t xml:space="preserve"> relacionados con el primer factor se puede definir como manejo adecuado de los recursos y la comunicación, el cual por sí sólo contribuye con 38.96</w:t>
      </w:r>
      <w:r w:rsidR="00271854" w:rsidRPr="00CF71FB">
        <w:t> </w:t>
      </w:r>
      <w:r w:rsidRPr="00CF71FB">
        <w:t>% a la varianza explicada. Los ítems relacionados con el segundo factor se refieren a aspectos evaluativos en el curso y contribuye con 9.43 % a la varianza explicada. Finalmente, el tercer factor presenta saturación arriba de .5 en un ítem que se refiere al manejo ordenado de los foros de discusión y contribuye con 6 % a la varianza explicada, se refiere a aspectos administrativos</w:t>
      </w:r>
      <w:r w:rsidR="00271854" w:rsidRPr="00CF71FB">
        <w:t>.</w:t>
      </w:r>
      <w:r w:rsidRPr="00CF71FB">
        <w:t xml:space="preserve"> </w:t>
      </w:r>
      <w:r w:rsidR="00271854" w:rsidRPr="00CF71FB">
        <w:t>E</w:t>
      </w:r>
      <w:r w:rsidRPr="00CF71FB">
        <w:t xml:space="preserve">sta información resultó ser interesante para identificar aspectos clave de las percepciones de los estudiantes y </w:t>
      </w:r>
      <w:r w:rsidR="00271854" w:rsidRPr="00CF71FB">
        <w:t xml:space="preserve">de </w:t>
      </w:r>
      <w:r w:rsidRPr="00CF71FB">
        <w:t xml:space="preserve">las áreas que para ellos </w:t>
      </w:r>
      <w:r w:rsidR="00271854" w:rsidRPr="00CF71FB">
        <w:t xml:space="preserve">tienen </w:t>
      </w:r>
      <w:r w:rsidRPr="00CF71FB">
        <w:t>mayor interés, independientemente del tamaño de la muestra.</w:t>
      </w:r>
    </w:p>
    <w:p w14:paraId="74983FA9" w14:textId="77777777" w:rsidR="000850FC" w:rsidRDefault="000850FC" w:rsidP="000850FC">
      <w:pPr>
        <w:ind w:firstLine="708"/>
      </w:pPr>
      <w:r>
        <w:t>Una prueba Kruskall-Wallis (</w:t>
      </w:r>
      <w:r w:rsidR="00271854">
        <w:t>t</w:t>
      </w:r>
      <w:r>
        <w:t xml:space="preserve">abla 7) </w:t>
      </w:r>
      <w:r w:rsidR="00271854">
        <w:t>—</w:t>
      </w:r>
      <w:r>
        <w:t>tomando como variable agrupadora la institución y como datos para contraste la mediana de cada competencia</w:t>
      </w:r>
      <w:r w:rsidR="00271854">
        <w:t>—</w:t>
      </w:r>
      <w:r>
        <w:t xml:space="preserve"> indicó que aunque los datos pudieran representar algún nivel de diferencia entre las observaciones de los estudiantes dependiendo de su institución, el valor de p es mayor que .05 para todas las competencias, tanto en el estadístico como en la prueba de medianas</w:t>
      </w:r>
      <w:r w:rsidR="00271854">
        <w:t>.</w:t>
      </w:r>
      <w:r>
        <w:t xml:space="preserve"> </w:t>
      </w:r>
      <w:r w:rsidR="00271854">
        <w:t>P</w:t>
      </w:r>
      <w:r>
        <w:t>or consiguiente</w:t>
      </w:r>
      <w:r w:rsidR="00271854">
        <w:t>,</w:t>
      </w:r>
      <w:r>
        <w:t xml:space="preserve"> las percepciones de los estudiantes son similares independientemente de la institución donde estudien el programa educativo en línea, por lo que se rechaza la hipótesis nula (H2) y se puede hablar de un perfil </w:t>
      </w:r>
      <w:r w:rsidR="00271854">
        <w:t>homogéneo</w:t>
      </w:r>
      <w:r>
        <w:t xml:space="preserve"> del docente competente en instituciones de educación superior públicas en México.</w:t>
      </w:r>
    </w:p>
    <w:p w14:paraId="0FCF3B19" w14:textId="2167EE69" w:rsidR="000850FC" w:rsidRDefault="000850FC" w:rsidP="000850FC"/>
    <w:p w14:paraId="2B32094A" w14:textId="017D103A" w:rsidR="00727258" w:rsidRDefault="00727258" w:rsidP="000850FC"/>
    <w:p w14:paraId="35E43226" w14:textId="0E64B4AD" w:rsidR="00727258" w:rsidRDefault="00727258" w:rsidP="000850FC"/>
    <w:p w14:paraId="4873F9C2" w14:textId="77777777" w:rsidR="00727258" w:rsidRPr="0091777E" w:rsidRDefault="00727258" w:rsidP="000850FC"/>
    <w:p w14:paraId="1C1AD592" w14:textId="77777777" w:rsidR="000850FC" w:rsidRPr="00ED6DA0" w:rsidRDefault="000850FC" w:rsidP="002226F3">
      <w:pPr>
        <w:pStyle w:val="Ttulo7"/>
        <w:spacing w:line="360" w:lineRule="auto"/>
        <w:jc w:val="center"/>
      </w:pPr>
      <w:r w:rsidRPr="00271854">
        <w:rPr>
          <w:b/>
        </w:rPr>
        <w:lastRenderedPageBreak/>
        <w:t>Tabla 7.</w:t>
      </w:r>
      <w:r w:rsidRPr="00BD2500">
        <w:t xml:space="preserve"> </w:t>
      </w:r>
      <w:r w:rsidRPr="00ED6DA0">
        <w:t>Análisis de varianza por rangos</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98"/>
        <w:gridCol w:w="567"/>
        <w:gridCol w:w="1045"/>
        <w:gridCol w:w="992"/>
        <w:gridCol w:w="1365"/>
        <w:gridCol w:w="619"/>
        <w:gridCol w:w="992"/>
      </w:tblGrid>
      <w:tr w:rsidR="000850FC" w:rsidRPr="008B05B6" w14:paraId="1FE06268" w14:textId="77777777" w:rsidTr="00727258">
        <w:trPr>
          <w:trHeight w:val="300"/>
          <w:jc w:val="center"/>
        </w:trPr>
        <w:tc>
          <w:tcPr>
            <w:tcW w:w="1998" w:type="dxa"/>
            <w:noWrap/>
            <w:vAlign w:val="bottom"/>
          </w:tcPr>
          <w:p w14:paraId="4C801150" w14:textId="77777777" w:rsidR="000850FC" w:rsidRPr="008B05B6" w:rsidRDefault="000850FC" w:rsidP="00B324BD">
            <w:pPr>
              <w:spacing w:line="240" w:lineRule="auto"/>
              <w:rPr>
                <w:color w:val="000000"/>
                <w:lang w:eastAsia="es-ES"/>
              </w:rPr>
            </w:pPr>
          </w:p>
        </w:tc>
        <w:tc>
          <w:tcPr>
            <w:tcW w:w="2604" w:type="dxa"/>
            <w:gridSpan w:val="3"/>
            <w:noWrap/>
            <w:vAlign w:val="bottom"/>
          </w:tcPr>
          <w:p w14:paraId="68250AA5" w14:textId="77777777" w:rsidR="000850FC" w:rsidRPr="008B05B6" w:rsidRDefault="000850FC" w:rsidP="00B324BD">
            <w:pPr>
              <w:spacing w:line="240" w:lineRule="auto"/>
              <w:jc w:val="center"/>
              <w:rPr>
                <w:color w:val="000000"/>
                <w:lang w:eastAsia="es-ES"/>
              </w:rPr>
            </w:pPr>
            <w:r w:rsidRPr="008B05B6">
              <w:rPr>
                <w:color w:val="000000"/>
                <w:lang w:eastAsia="es-ES"/>
              </w:rPr>
              <w:t>Kruskall-Wallis</w:t>
            </w:r>
          </w:p>
        </w:tc>
        <w:tc>
          <w:tcPr>
            <w:tcW w:w="2976" w:type="dxa"/>
            <w:gridSpan w:val="3"/>
            <w:vAlign w:val="bottom"/>
          </w:tcPr>
          <w:p w14:paraId="70163AF3" w14:textId="77777777" w:rsidR="000850FC" w:rsidRPr="008B05B6" w:rsidRDefault="000850FC" w:rsidP="00271854">
            <w:pPr>
              <w:spacing w:line="240" w:lineRule="auto"/>
              <w:jc w:val="center"/>
              <w:rPr>
                <w:color w:val="000000"/>
                <w:lang w:eastAsia="es-ES"/>
              </w:rPr>
            </w:pPr>
            <w:r w:rsidRPr="008B05B6">
              <w:rPr>
                <w:color w:val="000000"/>
                <w:lang w:eastAsia="es-ES"/>
              </w:rPr>
              <w:t xml:space="preserve">Prueba de </w:t>
            </w:r>
            <w:r w:rsidR="00271854">
              <w:rPr>
                <w:color w:val="000000"/>
                <w:lang w:eastAsia="es-ES"/>
              </w:rPr>
              <w:t>m</w:t>
            </w:r>
            <w:r w:rsidRPr="008B05B6">
              <w:rPr>
                <w:color w:val="000000"/>
                <w:lang w:eastAsia="es-ES"/>
              </w:rPr>
              <w:t xml:space="preserve">ediana </w:t>
            </w:r>
          </w:p>
        </w:tc>
      </w:tr>
      <w:tr w:rsidR="000850FC" w:rsidRPr="008B05B6" w14:paraId="53387E3D" w14:textId="77777777" w:rsidTr="00727258">
        <w:trPr>
          <w:trHeight w:val="300"/>
          <w:jc w:val="center"/>
        </w:trPr>
        <w:tc>
          <w:tcPr>
            <w:tcW w:w="1998" w:type="dxa"/>
            <w:noWrap/>
            <w:vAlign w:val="bottom"/>
          </w:tcPr>
          <w:p w14:paraId="7E2BF96F" w14:textId="77777777" w:rsidR="000850FC" w:rsidRPr="004069F6" w:rsidRDefault="000850FC" w:rsidP="00B324BD">
            <w:pPr>
              <w:spacing w:line="240" w:lineRule="auto"/>
              <w:rPr>
                <w:color w:val="000000"/>
                <w:lang w:eastAsia="es-ES"/>
              </w:rPr>
            </w:pPr>
            <w:r w:rsidRPr="004069F6">
              <w:rPr>
                <w:color w:val="000000"/>
                <w:lang w:eastAsia="es-ES"/>
              </w:rPr>
              <w:t> </w:t>
            </w:r>
          </w:p>
        </w:tc>
        <w:tc>
          <w:tcPr>
            <w:tcW w:w="567" w:type="dxa"/>
            <w:noWrap/>
            <w:vAlign w:val="bottom"/>
          </w:tcPr>
          <w:p w14:paraId="780D065D" w14:textId="77777777" w:rsidR="000850FC" w:rsidRPr="004069F6" w:rsidRDefault="000850FC" w:rsidP="00B324BD">
            <w:pPr>
              <w:spacing w:line="240" w:lineRule="auto"/>
              <w:jc w:val="center"/>
              <w:rPr>
                <w:color w:val="000000"/>
                <w:lang w:eastAsia="es-ES"/>
              </w:rPr>
            </w:pPr>
            <w:r w:rsidRPr="008B05B6">
              <w:rPr>
                <w:color w:val="000000"/>
                <w:lang w:eastAsia="es-ES"/>
              </w:rPr>
              <w:t>N</w:t>
            </w:r>
          </w:p>
        </w:tc>
        <w:tc>
          <w:tcPr>
            <w:tcW w:w="1045" w:type="dxa"/>
            <w:noWrap/>
            <w:vAlign w:val="bottom"/>
          </w:tcPr>
          <w:p w14:paraId="26BA257B" w14:textId="77777777" w:rsidR="000850FC" w:rsidRPr="004069F6" w:rsidRDefault="000850FC" w:rsidP="00B324BD">
            <w:pPr>
              <w:spacing w:line="240" w:lineRule="auto"/>
              <w:jc w:val="center"/>
              <w:rPr>
                <w:color w:val="000000"/>
                <w:lang w:eastAsia="es-ES"/>
              </w:rPr>
            </w:pPr>
            <w:r w:rsidRPr="008B05B6">
              <w:rPr>
                <w:color w:val="000000"/>
                <w:lang w:eastAsia="es-ES"/>
              </w:rPr>
              <w:t>KW</w:t>
            </w:r>
          </w:p>
        </w:tc>
        <w:tc>
          <w:tcPr>
            <w:tcW w:w="992" w:type="dxa"/>
            <w:noWrap/>
            <w:vAlign w:val="bottom"/>
          </w:tcPr>
          <w:p w14:paraId="4E3CB7B9" w14:textId="77777777" w:rsidR="000850FC" w:rsidRPr="004069F6" w:rsidRDefault="000850FC" w:rsidP="00B324BD">
            <w:pPr>
              <w:spacing w:line="240" w:lineRule="auto"/>
              <w:jc w:val="center"/>
              <w:rPr>
                <w:color w:val="000000"/>
                <w:lang w:eastAsia="es-ES"/>
              </w:rPr>
            </w:pPr>
            <w:r w:rsidRPr="008B05B6">
              <w:rPr>
                <w:color w:val="000000"/>
                <w:lang w:eastAsia="es-ES"/>
              </w:rPr>
              <w:t>p</w:t>
            </w:r>
          </w:p>
        </w:tc>
        <w:tc>
          <w:tcPr>
            <w:tcW w:w="1365" w:type="dxa"/>
            <w:vAlign w:val="bottom"/>
          </w:tcPr>
          <w:p w14:paraId="0A611E75" w14:textId="77777777" w:rsidR="000850FC" w:rsidRPr="004069F6" w:rsidRDefault="000850FC" w:rsidP="00B324BD">
            <w:pPr>
              <w:spacing w:line="240" w:lineRule="auto"/>
              <w:jc w:val="center"/>
              <w:rPr>
                <w:color w:val="000000"/>
                <w:lang w:eastAsia="es-ES"/>
              </w:rPr>
            </w:pPr>
            <w:r w:rsidRPr="008B05B6">
              <w:rPr>
                <w:color w:val="000000"/>
                <w:lang w:eastAsia="es-ES"/>
              </w:rPr>
              <w:t>Ji2</w:t>
            </w:r>
          </w:p>
        </w:tc>
        <w:tc>
          <w:tcPr>
            <w:tcW w:w="619" w:type="dxa"/>
            <w:vAlign w:val="bottom"/>
          </w:tcPr>
          <w:p w14:paraId="4ADA37B5" w14:textId="77777777" w:rsidR="000850FC" w:rsidRPr="004069F6" w:rsidRDefault="00271854" w:rsidP="00B324BD">
            <w:pPr>
              <w:spacing w:line="240" w:lineRule="auto"/>
              <w:jc w:val="center"/>
              <w:rPr>
                <w:color w:val="000000"/>
                <w:lang w:eastAsia="es-ES"/>
              </w:rPr>
            </w:pPr>
            <w:r w:rsidRPr="008B05B6">
              <w:rPr>
                <w:color w:val="000000"/>
                <w:lang w:eastAsia="es-ES"/>
              </w:rPr>
              <w:t>D</w:t>
            </w:r>
            <w:r w:rsidR="000850FC" w:rsidRPr="008B05B6">
              <w:rPr>
                <w:color w:val="000000"/>
                <w:lang w:eastAsia="es-ES"/>
              </w:rPr>
              <w:t>f</w:t>
            </w:r>
          </w:p>
        </w:tc>
        <w:tc>
          <w:tcPr>
            <w:tcW w:w="992" w:type="dxa"/>
            <w:vAlign w:val="bottom"/>
          </w:tcPr>
          <w:p w14:paraId="3098065A" w14:textId="77777777" w:rsidR="000850FC" w:rsidRPr="004069F6" w:rsidRDefault="000850FC" w:rsidP="00B324BD">
            <w:pPr>
              <w:spacing w:line="240" w:lineRule="auto"/>
              <w:jc w:val="center"/>
              <w:rPr>
                <w:color w:val="000000"/>
                <w:lang w:eastAsia="es-ES"/>
              </w:rPr>
            </w:pPr>
            <w:r w:rsidRPr="008B05B6">
              <w:rPr>
                <w:color w:val="000000"/>
                <w:lang w:eastAsia="es-ES"/>
              </w:rPr>
              <w:t>p</w:t>
            </w:r>
          </w:p>
        </w:tc>
      </w:tr>
      <w:tr w:rsidR="000850FC" w:rsidRPr="008B05B6" w14:paraId="208F4F92" w14:textId="77777777" w:rsidTr="00727258">
        <w:trPr>
          <w:trHeight w:val="300"/>
          <w:jc w:val="center"/>
        </w:trPr>
        <w:tc>
          <w:tcPr>
            <w:tcW w:w="1998" w:type="dxa"/>
            <w:noWrap/>
            <w:vAlign w:val="bottom"/>
          </w:tcPr>
          <w:p w14:paraId="394FD84E" w14:textId="77777777" w:rsidR="000850FC" w:rsidRPr="004069F6" w:rsidRDefault="000850FC" w:rsidP="00B324BD">
            <w:pPr>
              <w:spacing w:line="240" w:lineRule="auto"/>
              <w:rPr>
                <w:color w:val="000000"/>
                <w:lang w:eastAsia="es-ES"/>
              </w:rPr>
            </w:pPr>
            <w:r w:rsidRPr="004069F6">
              <w:rPr>
                <w:color w:val="000000"/>
                <w:lang w:eastAsia="es-ES"/>
              </w:rPr>
              <w:t>Pedagógica</w:t>
            </w:r>
          </w:p>
        </w:tc>
        <w:tc>
          <w:tcPr>
            <w:tcW w:w="567" w:type="dxa"/>
            <w:noWrap/>
            <w:vAlign w:val="center"/>
          </w:tcPr>
          <w:p w14:paraId="472A02A0" w14:textId="77777777" w:rsidR="000850FC" w:rsidRPr="004069F6" w:rsidRDefault="000850FC" w:rsidP="00B324BD">
            <w:pPr>
              <w:spacing w:line="240" w:lineRule="auto"/>
              <w:jc w:val="right"/>
              <w:rPr>
                <w:color w:val="000000"/>
                <w:lang w:eastAsia="es-ES"/>
              </w:rPr>
            </w:pPr>
            <w:r w:rsidRPr="008B05B6">
              <w:rPr>
                <w:color w:val="000000"/>
                <w:lang w:eastAsia="es-ES"/>
              </w:rPr>
              <w:t>87</w:t>
            </w:r>
          </w:p>
        </w:tc>
        <w:tc>
          <w:tcPr>
            <w:tcW w:w="1045" w:type="dxa"/>
            <w:noWrap/>
            <w:vAlign w:val="center"/>
          </w:tcPr>
          <w:p w14:paraId="31B3893F" w14:textId="77777777" w:rsidR="000850FC" w:rsidRPr="004069F6" w:rsidRDefault="000850FC" w:rsidP="00B324BD">
            <w:pPr>
              <w:spacing w:line="240" w:lineRule="auto"/>
              <w:jc w:val="right"/>
              <w:rPr>
                <w:color w:val="000000"/>
                <w:lang w:eastAsia="es-ES"/>
              </w:rPr>
            </w:pPr>
            <w:r w:rsidRPr="008B05B6">
              <w:rPr>
                <w:color w:val="000000"/>
                <w:lang w:eastAsia="es-ES"/>
              </w:rPr>
              <w:t>4.0878</w:t>
            </w:r>
          </w:p>
        </w:tc>
        <w:tc>
          <w:tcPr>
            <w:tcW w:w="992" w:type="dxa"/>
            <w:noWrap/>
            <w:vAlign w:val="center"/>
          </w:tcPr>
          <w:p w14:paraId="4FA4F68D" w14:textId="77777777" w:rsidR="000850FC" w:rsidRPr="004069F6" w:rsidRDefault="000850FC" w:rsidP="00B324BD">
            <w:pPr>
              <w:spacing w:line="240" w:lineRule="auto"/>
              <w:jc w:val="right"/>
              <w:rPr>
                <w:color w:val="000000"/>
                <w:lang w:eastAsia="es-ES"/>
              </w:rPr>
            </w:pPr>
            <w:r w:rsidRPr="008B05B6">
              <w:rPr>
                <w:color w:val="000000"/>
                <w:lang w:eastAsia="es-ES"/>
              </w:rPr>
              <w:t>.5368</w:t>
            </w:r>
          </w:p>
        </w:tc>
        <w:tc>
          <w:tcPr>
            <w:tcW w:w="1365" w:type="dxa"/>
            <w:vAlign w:val="center"/>
          </w:tcPr>
          <w:p w14:paraId="06934FB3" w14:textId="77777777" w:rsidR="000850FC" w:rsidRPr="004069F6" w:rsidRDefault="000850FC" w:rsidP="00B324BD">
            <w:pPr>
              <w:spacing w:line="240" w:lineRule="auto"/>
              <w:jc w:val="right"/>
              <w:rPr>
                <w:color w:val="000000"/>
                <w:lang w:eastAsia="es-ES"/>
              </w:rPr>
            </w:pPr>
            <w:r w:rsidRPr="008B05B6">
              <w:rPr>
                <w:color w:val="000000"/>
                <w:lang w:eastAsia="es-ES"/>
              </w:rPr>
              <w:t>4.8141</w:t>
            </w:r>
          </w:p>
        </w:tc>
        <w:tc>
          <w:tcPr>
            <w:tcW w:w="619" w:type="dxa"/>
            <w:vAlign w:val="center"/>
          </w:tcPr>
          <w:p w14:paraId="5C653CA6" w14:textId="77777777" w:rsidR="000850FC" w:rsidRPr="004069F6" w:rsidRDefault="000850FC" w:rsidP="00B324BD">
            <w:pPr>
              <w:spacing w:line="240" w:lineRule="auto"/>
              <w:jc w:val="right"/>
              <w:rPr>
                <w:color w:val="000000"/>
                <w:lang w:eastAsia="es-ES"/>
              </w:rPr>
            </w:pPr>
            <w:r w:rsidRPr="008B05B6">
              <w:rPr>
                <w:color w:val="000000"/>
                <w:lang w:eastAsia="es-ES"/>
              </w:rPr>
              <w:t>5</w:t>
            </w:r>
          </w:p>
        </w:tc>
        <w:tc>
          <w:tcPr>
            <w:tcW w:w="992" w:type="dxa"/>
            <w:vAlign w:val="center"/>
          </w:tcPr>
          <w:p w14:paraId="32D4961B" w14:textId="77777777" w:rsidR="000850FC" w:rsidRPr="004069F6" w:rsidRDefault="000850FC" w:rsidP="00B324BD">
            <w:pPr>
              <w:spacing w:line="240" w:lineRule="auto"/>
              <w:jc w:val="right"/>
              <w:rPr>
                <w:color w:val="000000"/>
                <w:lang w:eastAsia="es-ES"/>
              </w:rPr>
            </w:pPr>
            <w:r w:rsidRPr="008B05B6">
              <w:rPr>
                <w:color w:val="000000"/>
                <w:lang w:eastAsia="es-ES"/>
              </w:rPr>
              <w:t>.4930</w:t>
            </w:r>
          </w:p>
        </w:tc>
      </w:tr>
      <w:tr w:rsidR="000850FC" w:rsidRPr="008B05B6" w14:paraId="250E3E36" w14:textId="77777777" w:rsidTr="00727258">
        <w:trPr>
          <w:trHeight w:val="300"/>
          <w:jc w:val="center"/>
        </w:trPr>
        <w:tc>
          <w:tcPr>
            <w:tcW w:w="1998" w:type="dxa"/>
            <w:noWrap/>
            <w:vAlign w:val="bottom"/>
          </w:tcPr>
          <w:p w14:paraId="34EC4BA3" w14:textId="77777777" w:rsidR="000850FC" w:rsidRPr="004069F6" w:rsidRDefault="000850FC" w:rsidP="00B324BD">
            <w:pPr>
              <w:spacing w:line="240" w:lineRule="auto"/>
              <w:rPr>
                <w:color w:val="000000"/>
                <w:lang w:eastAsia="es-ES"/>
              </w:rPr>
            </w:pPr>
            <w:r w:rsidRPr="004069F6">
              <w:rPr>
                <w:color w:val="000000"/>
                <w:lang w:eastAsia="es-ES"/>
              </w:rPr>
              <w:t>Social</w:t>
            </w:r>
          </w:p>
        </w:tc>
        <w:tc>
          <w:tcPr>
            <w:tcW w:w="567" w:type="dxa"/>
            <w:noWrap/>
            <w:vAlign w:val="center"/>
          </w:tcPr>
          <w:p w14:paraId="681E7D83" w14:textId="77777777" w:rsidR="000850FC" w:rsidRPr="004069F6" w:rsidRDefault="000850FC" w:rsidP="00B324BD">
            <w:pPr>
              <w:spacing w:line="240" w:lineRule="auto"/>
              <w:jc w:val="right"/>
              <w:rPr>
                <w:color w:val="000000"/>
                <w:lang w:eastAsia="es-ES"/>
              </w:rPr>
            </w:pPr>
            <w:r w:rsidRPr="008B05B6">
              <w:rPr>
                <w:color w:val="000000"/>
                <w:lang w:eastAsia="es-ES"/>
              </w:rPr>
              <w:t>87</w:t>
            </w:r>
          </w:p>
        </w:tc>
        <w:tc>
          <w:tcPr>
            <w:tcW w:w="1045" w:type="dxa"/>
            <w:noWrap/>
            <w:vAlign w:val="center"/>
          </w:tcPr>
          <w:p w14:paraId="74C1E77F" w14:textId="77777777" w:rsidR="000850FC" w:rsidRPr="004069F6" w:rsidRDefault="000850FC" w:rsidP="00B324BD">
            <w:pPr>
              <w:spacing w:line="240" w:lineRule="auto"/>
              <w:jc w:val="right"/>
              <w:rPr>
                <w:color w:val="000000"/>
                <w:lang w:eastAsia="es-ES"/>
              </w:rPr>
            </w:pPr>
            <w:r w:rsidRPr="008B05B6">
              <w:rPr>
                <w:color w:val="000000"/>
                <w:lang w:eastAsia="es-ES"/>
              </w:rPr>
              <w:t>6.8978</w:t>
            </w:r>
          </w:p>
        </w:tc>
        <w:tc>
          <w:tcPr>
            <w:tcW w:w="992" w:type="dxa"/>
            <w:noWrap/>
            <w:vAlign w:val="center"/>
          </w:tcPr>
          <w:p w14:paraId="4DDAFC54" w14:textId="77777777" w:rsidR="000850FC" w:rsidRPr="004069F6" w:rsidRDefault="000850FC" w:rsidP="00B324BD">
            <w:pPr>
              <w:spacing w:line="240" w:lineRule="auto"/>
              <w:jc w:val="right"/>
              <w:rPr>
                <w:color w:val="000000"/>
                <w:lang w:eastAsia="es-ES"/>
              </w:rPr>
            </w:pPr>
            <w:r w:rsidRPr="008B05B6">
              <w:rPr>
                <w:color w:val="000000"/>
                <w:lang w:eastAsia="es-ES"/>
              </w:rPr>
              <w:t>.2283</w:t>
            </w:r>
          </w:p>
        </w:tc>
        <w:tc>
          <w:tcPr>
            <w:tcW w:w="1365" w:type="dxa"/>
            <w:vAlign w:val="center"/>
          </w:tcPr>
          <w:p w14:paraId="650F12D5" w14:textId="77777777" w:rsidR="000850FC" w:rsidRPr="004069F6" w:rsidRDefault="000850FC" w:rsidP="00B324BD">
            <w:pPr>
              <w:spacing w:line="240" w:lineRule="auto"/>
              <w:jc w:val="right"/>
              <w:rPr>
                <w:color w:val="000000"/>
                <w:lang w:eastAsia="es-ES"/>
              </w:rPr>
            </w:pPr>
            <w:r w:rsidRPr="008B05B6">
              <w:rPr>
                <w:color w:val="000000"/>
                <w:lang w:eastAsia="es-ES"/>
              </w:rPr>
              <w:t>3.8746</w:t>
            </w:r>
          </w:p>
        </w:tc>
        <w:tc>
          <w:tcPr>
            <w:tcW w:w="619" w:type="dxa"/>
            <w:vAlign w:val="center"/>
          </w:tcPr>
          <w:p w14:paraId="0E5259F0" w14:textId="77777777" w:rsidR="000850FC" w:rsidRPr="004069F6" w:rsidRDefault="000850FC" w:rsidP="00B324BD">
            <w:pPr>
              <w:spacing w:line="240" w:lineRule="auto"/>
              <w:jc w:val="right"/>
              <w:rPr>
                <w:color w:val="000000"/>
                <w:lang w:eastAsia="es-ES"/>
              </w:rPr>
            </w:pPr>
            <w:r w:rsidRPr="008B05B6">
              <w:rPr>
                <w:color w:val="000000"/>
                <w:lang w:eastAsia="es-ES"/>
              </w:rPr>
              <w:t>5</w:t>
            </w:r>
          </w:p>
        </w:tc>
        <w:tc>
          <w:tcPr>
            <w:tcW w:w="992" w:type="dxa"/>
            <w:vAlign w:val="center"/>
          </w:tcPr>
          <w:p w14:paraId="0850F687" w14:textId="77777777" w:rsidR="000850FC" w:rsidRPr="004069F6" w:rsidRDefault="000850FC" w:rsidP="00B324BD">
            <w:pPr>
              <w:spacing w:line="240" w:lineRule="auto"/>
              <w:jc w:val="right"/>
              <w:rPr>
                <w:color w:val="000000"/>
                <w:lang w:eastAsia="es-ES"/>
              </w:rPr>
            </w:pPr>
            <w:r w:rsidRPr="008B05B6">
              <w:rPr>
                <w:color w:val="000000"/>
                <w:lang w:eastAsia="es-ES"/>
              </w:rPr>
              <w:t>.5679</w:t>
            </w:r>
          </w:p>
        </w:tc>
      </w:tr>
      <w:tr w:rsidR="000850FC" w:rsidRPr="008B05B6" w14:paraId="42CFF272" w14:textId="77777777" w:rsidTr="00727258">
        <w:trPr>
          <w:trHeight w:val="300"/>
          <w:jc w:val="center"/>
        </w:trPr>
        <w:tc>
          <w:tcPr>
            <w:tcW w:w="1998" w:type="dxa"/>
            <w:noWrap/>
            <w:vAlign w:val="bottom"/>
          </w:tcPr>
          <w:p w14:paraId="2E7554B1" w14:textId="77777777" w:rsidR="000850FC" w:rsidRPr="004069F6" w:rsidRDefault="000850FC" w:rsidP="00B324BD">
            <w:pPr>
              <w:spacing w:line="240" w:lineRule="auto"/>
              <w:rPr>
                <w:color w:val="000000"/>
                <w:lang w:eastAsia="es-ES"/>
              </w:rPr>
            </w:pPr>
            <w:r w:rsidRPr="004069F6">
              <w:rPr>
                <w:color w:val="000000"/>
                <w:lang w:eastAsia="es-ES"/>
              </w:rPr>
              <w:t>Admi</w:t>
            </w:r>
            <w:r>
              <w:rPr>
                <w:color w:val="000000"/>
                <w:lang w:eastAsia="es-ES"/>
              </w:rPr>
              <w:t>ni</w:t>
            </w:r>
            <w:r w:rsidRPr="004069F6">
              <w:rPr>
                <w:color w:val="000000"/>
                <w:lang w:eastAsia="es-ES"/>
              </w:rPr>
              <w:t>stra</w:t>
            </w:r>
            <w:r w:rsidRPr="008B05B6">
              <w:rPr>
                <w:color w:val="000000"/>
                <w:lang w:eastAsia="es-ES"/>
              </w:rPr>
              <w:t>t</w:t>
            </w:r>
            <w:r w:rsidRPr="004069F6">
              <w:rPr>
                <w:color w:val="000000"/>
                <w:lang w:eastAsia="es-ES"/>
              </w:rPr>
              <w:t>iva</w:t>
            </w:r>
          </w:p>
        </w:tc>
        <w:tc>
          <w:tcPr>
            <w:tcW w:w="567" w:type="dxa"/>
            <w:noWrap/>
            <w:vAlign w:val="center"/>
          </w:tcPr>
          <w:p w14:paraId="663ED12E" w14:textId="77777777" w:rsidR="000850FC" w:rsidRPr="004069F6" w:rsidRDefault="000850FC" w:rsidP="00B324BD">
            <w:pPr>
              <w:spacing w:line="240" w:lineRule="auto"/>
              <w:jc w:val="right"/>
              <w:rPr>
                <w:color w:val="000000"/>
                <w:lang w:eastAsia="es-ES"/>
              </w:rPr>
            </w:pPr>
            <w:r w:rsidRPr="008B05B6">
              <w:rPr>
                <w:color w:val="000000"/>
                <w:lang w:eastAsia="es-ES"/>
              </w:rPr>
              <w:t>87</w:t>
            </w:r>
          </w:p>
        </w:tc>
        <w:tc>
          <w:tcPr>
            <w:tcW w:w="1045" w:type="dxa"/>
            <w:noWrap/>
            <w:vAlign w:val="center"/>
          </w:tcPr>
          <w:p w14:paraId="12EBCB79" w14:textId="77777777" w:rsidR="000850FC" w:rsidRPr="004069F6" w:rsidRDefault="000850FC" w:rsidP="00B324BD">
            <w:pPr>
              <w:spacing w:line="240" w:lineRule="auto"/>
              <w:jc w:val="right"/>
              <w:rPr>
                <w:color w:val="000000"/>
                <w:lang w:eastAsia="es-ES"/>
              </w:rPr>
            </w:pPr>
            <w:r w:rsidRPr="008B05B6">
              <w:rPr>
                <w:color w:val="000000"/>
                <w:lang w:eastAsia="es-ES"/>
              </w:rPr>
              <w:t>4.7759</w:t>
            </w:r>
          </w:p>
        </w:tc>
        <w:tc>
          <w:tcPr>
            <w:tcW w:w="992" w:type="dxa"/>
            <w:noWrap/>
            <w:vAlign w:val="center"/>
          </w:tcPr>
          <w:p w14:paraId="7AE99ACC" w14:textId="77777777" w:rsidR="000850FC" w:rsidRPr="004069F6" w:rsidRDefault="000850FC" w:rsidP="00B324BD">
            <w:pPr>
              <w:spacing w:line="240" w:lineRule="auto"/>
              <w:jc w:val="right"/>
              <w:rPr>
                <w:color w:val="000000"/>
                <w:lang w:eastAsia="es-ES"/>
              </w:rPr>
            </w:pPr>
            <w:r w:rsidRPr="008B05B6">
              <w:rPr>
                <w:color w:val="000000"/>
                <w:lang w:eastAsia="es-ES"/>
              </w:rPr>
              <w:t>.4438</w:t>
            </w:r>
          </w:p>
        </w:tc>
        <w:tc>
          <w:tcPr>
            <w:tcW w:w="1365" w:type="dxa"/>
            <w:vAlign w:val="center"/>
          </w:tcPr>
          <w:p w14:paraId="6EE48D00" w14:textId="77777777" w:rsidR="000850FC" w:rsidRPr="004069F6" w:rsidRDefault="000850FC" w:rsidP="00B324BD">
            <w:pPr>
              <w:spacing w:line="240" w:lineRule="auto"/>
              <w:jc w:val="right"/>
              <w:rPr>
                <w:color w:val="000000"/>
                <w:lang w:eastAsia="es-ES"/>
              </w:rPr>
            </w:pPr>
            <w:r w:rsidRPr="008B05B6">
              <w:rPr>
                <w:color w:val="000000"/>
                <w:lang w:eastAsia="es-ES"/>
              </w:rPr>
              <w:t>6.2374</w:t>
            </w:r>
          </w:p>
        </w:tc>
        <w:tc>
          <w:tcPr>
            <w:tcW w:w="619" w:type="dxa"/>
            <w:vAlign w:val="center"/>
          </w:tcPr>
          <w:p w14:paraId="510233CF" w14:textId="77777777" w:rsidR="000850FC" w:rsidRPr="004069F6" w:rsidRDefault="000850FC" w:rsidP="00B324BD">
            <w:pPr>
              <w:spacing w:line="240" w:lineRule="auto"/>
              <w:jc w:val="right"/>
              <w:rPr>
                <w:color w:val="000000"/>
                <w:lang w:eastAsia="es-ES"/>
              </w:rPr>
            </w:pPr>
            <w:r w:rsidRPr="008B05B6">
              <w:rPr>
                <w:color w:val="000000"/>
                <w:lang w:eastAsia="es-ES"/>
              </w:rPr>
              <w:t>5</w:t>
            </w:r>
          </w:p>
        </w:tc>
        <w:tc>
          <w:tcPr>
            <w:tcW w:w="992" w:type="dxa"/>
            <w:vAlign w:val="center"/>
          </w:tcPr>
          <w:p w14:paraId="5C8A5AF3" w14:textId="77777777" w:rsidR="000850FC" w:rsidRPr="004069F6" w:rsidRDefault="000850FC" w:rsidP="00B324BD">
            <w:pPr>
              <w:spacing w:line="240" w:lineRule="auto"/>
              <w:jc w:val="right"/>
              <w:rPr>
                <w:color w:val="000000"/>
                <w:lang w:eastAsia="es-ES"/>
              </w:rPr>
            </w:pPr>
            <w:r w:rsidRPr="008B05B6">
              <w:rPr>
                <w:color w:val="000000"/>
                <w:lang w:eastAsia="es-ES"/>
              </w:rPr>
              <w:t>.2838</w:t>
            </w:r>
          </w:p>
        </w:tc>
      </w:tr>
      <w:tr w:rsidR="000850FC" w:rsidRPr="008B05B6" w14:paraId="79C7986F" w14:textId="77777777" w:rsidTr="00727258">
        <w:trPr>
          <w:trHeight w:val="300"/>
          <w:jc w:val="center"/>
        </w:trPr>
        <w:tc>
          <w:tcPr>
            <w:tcW w:w="1998" w:type="dxa"/>
            <w:noWrap/>
            <w:vAlign w:val="bottom"/>
          </w:tcPr>
          <w:p w14:paraId="3E94D4E8" w14:textId="77777777" w:rsidR="000850FC" w:rsidRPr="004069F6" w:rsidRDefault="000850FC" w:rsidP="00B324BD">
            <w:pPr>
              <w:spacing w:line="240" w:lineRule="auto"/>
              <w:rPr>
                <w:color w:val="000000"/>
                <w:lang w:eastAsia="es-ES"/>
              </w:rPr>
            </w:pPr>
            <w:r w:rsidRPr="004069F6">
              <w:rPr>
                <w:color w:val="000000"/>
                <w:lang w:eastAsia="es-ES"/>
              </w:rPr>
              <w:t>Tecnológica</w:t>
            </w:r>
          </w:p>
        </w:tc>
        <w:tc>
          <w:tcPr>
            <w:tcW w:w="567" w:type="dxa"/>
            <w:noWrap/>
            <w:vAlign w:val="center"/>
          </w:tcPr>
          <w:p w14:paraId="6EB8ABC9" w14:textId="77777777" w:rsidR="000850FC" w:rsidRPr="004069F6" w:rsidRDefault="000850FC" w:rsidP="00B324BD">
            <w:pPr>
              <w:spacing w:line="240" w:lineRule="auto"/>
              <w:jc w:val="right"/>
              <w:rPr>
                <w:color w:val="000000"/>
                <w:lang w:eastAsia="es-ES"/>
              </w:rPr>
            </w:pPr>
            <w:r w:rsidRPr="008B05B6">
              <w:rPr>
                <w:color w:val="000000"/>
                <w:lang w:eastAsia="es-ES"/>
              </w:rPr>
              <w:t>87</w:t>
            </w:r>
          </w:p>
        </w:tc>
        <w:tc>
          <w:tcPr>
            <w:tcW w:w="1045" w:type="dxa"/>
            <w:noWrap/>
            <w:vAlign w:val="center"/>
          </w:tcPr>
          <w:p w14:paraId="3DA32040" w14:textId="77777777" w:rsidR="000850FC" w:rsidRPr="004069F6" w:rsidRDefault="000850FC" w:rsidP="00B324BD">
            <w:pPr>
              <w:spacing w:line="240" w:lineRule="auto"/>
              <w:jc w:val="right"/>
              <w:rPr>
                <w:color w:val="000000"/>
                <w:lang w:eastAsia="es-ES"/>
              </w:rPr>
            </w:pPr>
            <w:r w:rsidRPr="008B05B6">
              <w:rPr>
                <w:color w:val="000000"/>
                <w:lang w:eastAsia="es-ES"/>
              </w:rPr>
              <w:t>4.0028</w:t>
            </w:r>
          </w:p>
        </w:tc>
        <w:tc>
          <w:tcPr>
            <w:tcW w:w="992" w:type="dxa"/>
            <w:noWrap/>
            <w:vAlign w:val="center"/>
          </w:tcPr>
          <w:p w14:paraId="3619162F" w14:textId="77777777" w:rsidR="000850FC" w:rsidRPr="004069F6" w:rsidRDefault="000850FC" w:rsidP="00B324BD">
            <w:pPr>
              <w:spacing w:line="240" w:lineRule="auto"/>
              <w:jc w:val="right"/>
              <w:rPr>
                <w:color w:val="000000"/>
                <w:lang w:eastAsia="es-ES"/>
              </w:rPr>
            </w:pPr>
            <w:r w:rsidRPr="008B05B6">
              <w:rPr>
                <w:color w:val="000000"/>
                <w:lang w:eastAsia="es-ES"/>
              </w:rPr>
              <w:t>.5490</w:t>
            </w:r>
          </w:p>
        </w:tc>
        <w:tc>
          <w:tcPr>
            <w:tcW w:w="1365" w:type="dxa"/>
            <w:vAlign w:val="center"/>
          </w:tcPr>
          <w:p w14:paraId="7B74E83B" w14:textId="77777777" w:rsidR="000850FC" w:rsidRPr="004069F6" w:rsidRDefault="000850FC" w:rsidP="00B324BD">
            <w:pPr>
              <w:spacing w:line="240" w:lineRule="auto"/>
              <w:jc w:val="right"/>
              <w:rPr>
                <w:color w:val="000000"/>
                <w:lang w:eastAsia="es-ES"/>
              </w:rPr>
            </w:pPr>
            <w:r w:rsidRPr="008B05B6">
              <w:rPr>
                <w:color w:val="000000"/>
                <w:lang w:eastAsia="es-ES"/>
              </w:rPr>
              <w:t>5.5405</w:t>
            </w:r>
          </w:p>
        </w:tc>
        <w:tc>
          <w:tcPr>
            <w:tcW w:w="619" w:type="dxa"/>
            <w:vAlign w:val="center"/>
          </w:tcPr>
          <w:p w14:paraId="4EFE137F" w14:textId="77777777" w:rsidR="000850FC" w:rsidRPr="004069F6" w:rsidRDefault="000850FC" w:rsidP="00B324BD">
            <w:pPr>
              <w:spacing w:line="240" w:lineRule="auto"/>
              <w:jc w:val="right"/>
              <w:rPr>
                <w:color w:val="000000"/>
                <w:lang w:eastAsia="es-ES"/>
              </w:rPr>
            </w:pPr>
            <w:r w:rsidRPr="008B05B6">
              <w:rPr>
                <w:color w:val="000000"/>
                <w:lang w:eastAsia="es-ES"/>
              </w:rPr>
              <w:t>5</w:t>
            </w:r>
          </w:p>
        </w:tc>
        <w:tc>
          <w:tcPr>
            <w:tcW w:w="992" w:type="dxa"/>
            <w:vAlign w:val="center"/>
          </w:tcPr>
          <w:p w14:paraId="043ED6EB" w14:textId="77777777" w:rsidR="000850FC" w:rsidRPr="004069F6" w:rsidRDefault="000850FC" w:rsidP="00B324BD">
            <w:pPr>
              <w:spacing w:line="240" w:lineRule="auto"/>
              <w:jc w:val="right"/>
              <w:rPr>
                <w:color w:val="000000"/>
                <w:lang w:eastAsia="es-ES"/>
              </w:rPr>
            </w:pPr>
            <w:r w:rsidRPr="008B05B6">
              <w:rPr>
                <w:color w:val="000000"/>
                <w:lang w:eastAsia="es-ES"/>
              </w:rPr>
              <w:t>.3535</w:t>
            </w:r>
          </w:p>
        </w:tc>
      </w:tr>
      <w:tr w:rsidR="000850FC" w:rsidRPr="008B05B6" w14:paraId="61867A3B" w14:textId="77777777" w:rsidTr="00727258">
        <w:trPr>
          <w:trHeight w:val="300"/>
          <w:jc w:val="center"/>
        </w:trPr>
        <w:tc>
          <w:tcPr>
            <w:tcW w:w="1998" w:type="dxa"/>
            <w:noWrap/>
            <w:vAlign w:val="bottom"/>
          </w:tcPr>
          <w:p w14:paraId="792FDAD3" w14:textId="77777777" w:rsidR="000850FC" w:rsidRPr="004069F6" w:rsidRDefault="000850FC" w:rsidP="00B324BD">
            <w:pPr>
              <w:spacing w:line="240" w:lineRule="auto"/>
              <w:rPr>
                <w:color w:val="000000"/>
                <w:lang w:eastAsia="es-ES"/>
              </w:rPr>
            </w:pPr>
            <w:r w:rsidRPr="004069F6">
              <w:rPr>
                <w:color w:val="000000"/>
                <w:lang w:eastAsia="es-ES"/>
              </w:rPr>
              <w:t>Evaluativa</w:t>
            </w:r>
          </w:p>
        </w:tc>
        <w:tc>
          <w:tcPr>
            <w:tcW w:w="567" w:type="dxa"/>
            <w:noWrap/>
            <w:vAlign w:val="center"/>
          </w:tcPr>
          <w:p w14:paraId="3BEABE46" w14:textId="77777777" w:rsidR="000850FC" w:rsidRPr="004069F6" w:rsidRDefault="000850FC" w:rsidP="00B324BD">
            <w:pPr>
              <w:spacing w:line="240" w:lineRule="auto"/>
              <w:jc w:val="right"/>
              <w:rPr>
                <w:color w:val="000000"/>
                <w:lang w:eastAsia="es-ES"/>
              </w:rPr>
            </w:pPr>
            <w:r w:rsidRPr="008B05B6">
              <w:rPr>
                <w:color w:val="000000"/>
                <w:lang w:eastAsia="es-ES"/>
              </w:rPr>
              <w:t>87</w:t>
            </w:r>
          </w:p>
        </w:tc>
        <w:tc>
          <w:tcPr>
            <w:tcW w:w="1045" w:type="dxa"/>
            <w:noWrap/>
            <w:vAlign w:val="center"/>
          </w:tcPr>
          <w:p w14:paraId="37925361" w14:textId="77777777" w:rsidR="000850FC" w:rsidRPr="004069F6" w:rsidRDefault="000850FC" w:rsidP="00B324BD">
            <w:pPr>
              <w:spacing w:line="240" w:lineRule="auto"/>
              <w:jc w:val="right"/>
              <w:rPr>
                <w:color w:val="000000"/>
                <w:lang w:eastAsia="es-ES"/>
              </w:rPr>
            </w:pPr>
            <w:r w:rsidRPr="008B05B6">
              <w:rPr>
                <w:color w:val="000000"/>
                <w:lang w:eastAsia="es-ES"/>
              </w:rPr>
              <w:t>2.6518</w:t>
            </w:r>
          </w:p>
        </w:tc>
        <w:tc>
          <w:tcPr>
            <w:tcW w:w="992" w:type="dxa"/>
            <w:noWrap/>
            <w:vAlign w:val="center"/>
          </w:tcPr>
          <w:p w14:paraId="039582D0" w14:textId="77777777" w:rsidR="000850FC" w:rsidRPr="004069F6" w:rsidRDefault="000850FC" w:rsidP="00B324BD">
            <w:pPr>
              <w:spacing w:line="240" w:lineRule="auto"/>
              <w:jc w:val="right"/>
              <w:rPr>
                <w:color w:val="000000"/>
                <w:lang w:eastAsia="es-ES"/>
              </w:rPr>
            </w:pPr>
            <w:r w:rsidRPr="008B05B6">
              <w:rPr>
                <w:color w:val="000000"/>
                <w:lang w:eastAsia="es-ES"/>
              </w:rPr>
              <w:t>.7535</w:t>
            </w:r>
          </w:p>
        </w:tc>
        <w:tc>
          <w:tcPr>
            <w:tcW w:w="1365" w:type="dxa"/>
            <w:vAlign w:val="center"/>
          </w:tcPr>
          <w:p w14:paraId="19C81F7C" w14:textId="77777777" w:rsidR="000850FC" w:rsidRPr="004069F6" w:rsidRDefault="000850FC" w:rsidP="00B324BD">
            <w:pPr>
              <w:spacing w:line="240" w:lineRule="auto"/>
              <w:jc w:val="right"/>
              <w:rPr>
                <w:color w:val="000000"/>
                <w:lang w:eastAsia="es-ES"/>
              </w:rPr>
            </w:pPr>
            <w:r w:rsidRPr="008B05B6">
              <w:rPr>
                <w:color w:val="000000"/>
                <w:lang w:eastAsia="es-ES"/>
              </w:rPr>
              <w:t>5.8995</w:t>
            </w:r>
          </w:p>
        </w:tc>
        <w:tc>
          <w:tcPr>
            <w:tcW w:w="619" w:type="dxa"/>
            <w:vAlign w:val="center"/>
          </w:tcPr>
          <w:p w14:paraId="2D6C9B2F" w14:textId="77777777" w:rsidR="000850FC" w:rsidRPr="004069F6" w:rsidRDefault="000850FC" w:rsidP="00B324BD">
            <w:pPr>
              <w:spacing w:line="240" w:lineRule="auto"/>
              <w:jc w:val="right"/>
              <w:rPr>
                <w:color w:val="000000"/>
                <w:lang w:eastAsia="es-ES"/>
              </w:rPr>
            </w:pPr>
            <w:r w:rsidRPr="008B05B6">
              <w:rPr>
                <w:color w:val="000000"/>
                <w:lang w:eastAsia="es-ES"/>
              </w:rPr>
              <w:t>5</w:t>
            </w:r>
          </w:p>
        </w:tc>
        <w:tc>
          <w:tcPr>
            <w:tcW w:w="992" w:type="dxa"/>
            <w:vAlign w:val="center"/>
          </w:tcPr>
          <w:p w14:paraId="3A8A2A53" w14:textId="77777777" w:rsidR="000850FC" w:rsidRPr="004069F6" w:rsidRDefault="000850FC" w:rsidP="00B324BD">
            <w:pPr>
              <w:spacing w:line="240" w:lineRule="auto"/>
              <w:jc w:val="right"/>
              <w:rPr>
                <w:color w:val="000000"/>
                <w:lang w:eastAsia="es-ES"/>
              </w:rPr>
            </w:pPr>
            <w:r w:rsidRPr="008B05B6">
              <w:rPr>
                <w:color w:val="000000"/>
                <w:lang w:eastAsia="es-ES"/>
              </w:rPr>
              <w:t>.3161</w:t>
            </w:r>
          </w:p>
        </w:tc>
      </w:tr>
    </w:tbl>
    <w:p w14:paraId="7F0C1F98" w14:textId="77777777" w:rsidR="000850FC" w:rsidRPr="00ED6DA0" w:rsidRDefault="000850FC" w:rsidP="000850FC">
      <w:pPr>
        <w:jc w:val="center"/>
      </w:pPr>
      <w:r w:rsidRPr="00ED6DA0">
        <w:t xml:space="preserve">Fuente: </w:t>
      </w:r>
      <w:r>
        <w:t>E</w:t>
      </w:r>
      <w:r w:rsidRPr="00ED6DA0">
        <w:t>laboración propia</w:t>
      </w:r>
    </w:p>
    <w:p w14:paraId="17E02782" w14:textId="0E0B961C" w:rsidR="000850FC" w:rsidRDefault="000850FC" w:rsidP="00271854">
      <w:pPr>
        <w:ind w:firstLine="708"/>
      </w:pPr>
      <w:r w:rsidRPr="0020612A">
        <w:t>Una prueba de hipótesis U de Mann Whitney para comprobar la hipótesis de que el nivel académico afecta las percepciones de los estudiantes sobre el nivel de competencia de sus docentes se aplicó con los datos de la media de cada competencia en contraste con el nivel académico</w:t>
      </w:r>
      <w:r w:rsidR="00271854">
        <w:t>.</w:t>
      </w:r>
      <w:r w:rsidRPr="0020612A">
        <w:t xml:space="preserve"> </w:t>
      </w:r>
      <w:r w:rsidR="00271854">
        <w:t>D</w:t>
      </w:r>
      <w:r w:rsidRPr="0020612A">
        <w:t xml:space="preserve">el análisis se </w:t>
      </w:r>
      <w:r w:rsidR="00271854">
        <w:t>obtuvo</w:t>
      </w:r>
      <w:r w:rsidRPr="0020612A">
        <w:t xml:space="preserve"> un nivel de p &gt; .05 para todas las competencias, por lo que se acept</w:t>
      </w:r>
      <w:r w:rsidR="00271854">
        <w:t>a</w:t>
      </w:r>
      <w:r w:rsidRPr="0020612A">
        <w:t xml:space="preserve"> la hipótesis nula (H3)</w:t>
      </w:r>
      <w:r w:rsidR="00271854">
        <w:t>,</w:t>
      </w:r>
      <w:r w:rsidRPr="0020612A">
        <w:t xml:space="preserve"> que indica que no hay diferencia en las percepciones de los estudiantes de acuerdo </w:t>
      </w:r>
      <w:r w:rsidR="00271854">
        <w:t>con el</w:t>
      </w:r>
      <w:r w:rsidRPr="0020612A">
        <w:t xml:space="preserve"> nivel académico (</w:t>
      </w:r>
      <w:r w:rsidR="00271854">
        <w:t>t</w:t>
      </w:r>
      <w:r w:rsidRPr="0020612A">
        <w:t>abla 8).</w:t>
      </w:r>
    </w:p>
    <w:p w14:paraId="0D58689E" w14:textId="77777777" w:rsidR="000850FC" w:rsidRPr="0020612A" w:rsidRDefault="000850FC" w:rsidP="000850FC">
      <w:pPr>
        <w:jc w:val="center"/>
      </w:pPr>
    </w:p>
    <w:p w14:paraId="13B22654" w14:textId="77777777" w:rsidR="000850FC" w:rsidRPr="00ED6DA0" w:rsidRDefault="000850FC" w:rsidP="002226F3">
      <w:pPr>
        <w:pStyle w:val="Ttulo7"/>
        <w:spacing w:line="360" w:lineRule="auto"/>
        <w:jc w:val="center"/>
      </w:pPr>
      <w:r w:rsidRPr="00271854">
        <w:rPr>
          <w:b/>
        </w:rPr>
        <w:t>Tabla 8.</w:t>
      </w:r>
      <w:r w:rsidRPr="0020612A">
        <w:t xml:space="preserve"> </w:t>
      </w:r>
      <w:bookmarkStart w:id="5" w:name="_Toc300909796"/>
      <w:r w:rsidRPr="00ED6DA0">
        <w:t xml:space="preserve">Prueba de hipótesis U de Mann-Whitney con variable </w:t>
      </w:r>
      <w:r w:rsidRPr="00271854">
        <w:rPr>
          <w:i/>
        </w:rPr>
        <w:t>nivel académico</w:t>
      </w:r>
      <w:bookmarkEnd w:id="5"/>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80"/>
        <w:gridCol w:w="920"/>
        <w:gridCol w:w="920"/>
        <w:gridCol w:w="800"/>
        <w:gridCol w:w="851"/>
        <w:gridCol w:w="800"/>
        <w:gridCol w:w="927"/>
        <w:gridCol w:w="800"/>
        <w:gridCol w:w="460"/>
        <w:gridCol w:w="487"/>
        <w:gridCol w:w="846"/>
      </w:tblGrid>
      <w:tr w:rsidR="000850FC" w:rsidRPr="00CF71FB" w14:paraId="4F1A3786" w14:textId="77777777" w:rsidTr="00CF71FB">
        <w:trPr>
          <w:trHeight w:val="300"/>
          <w:jc w:val="center"/>
        </w:trPr>
        <w:tc>
          <w:tcPr>
            <w:tcW w:w="1340" w:type="dxa"/>
            <w:noWrap/>
            <w:vAlign w:val="bottom"/>
          </w:tcPr>
          <w:p w14:paraId="34752F72" w14:textId="77777777" w:rsidR="000850FC" w:rsidRPr="00CF71FB" w:rsidRDefault="000850FC" w:rsidP="00B324BD">
            <w:pPr>
              <w:spacing w:line="240" w:lineRule="auto"/>
              <w:jc w:val="center"/>
              <w:rPr>
                <w:rFonts w:cs="Times New Roman"/>
                <w:color w:val="000000"/>
                <w:lang w:eastAsia="es-ES"/>
              </w:rPr>
            </w:pPr>
          </w:p>
        </w:tc>
        <w:tc>
          <w:tcPr>
            <w:tcW w:w="798" w:type="dxa"/>
            <w:noWrap/>
            <w:vAlign w:val="bottom"/>
          </w:tcPr>
          <w:p w14:paraId="0EA9F47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Suma rango 1</w:t>
            </w:r>
          </w:p>
        </w:tc>
        <w:tc>
          <w:tcPr>
            <w:tcW w:w="850" w:type="dxa"/>
            <w:noWrap/>
            <w:vAlign w:val="bottom"/>
          </w:tcPr>
          <w:p w14:paraId="2914611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Suma rango 2</w:t>
            </w:r>
          </w:p>
        </w:tc>
        <w:tc>
          <w:tcPr>
            <w:tcW w:w="709" w:type="dxa"/>
            <w:noWrap/>
            <w:vAlign w:val="bottom"/>
          </w:tcPr>
          <w:p w14:paraId="0DDD330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U</w:t>
            </w:r>
          </w:p>
        </w:tc>
        <w:tc>
          <w:tcPr>
            <w:tcW w:w="851" w:type="dxa"/>
            <w:noWrap/>
            <w:vAlign w:val="bottom"/>
          </w:tcPr>
          <w:p w14:paraId="79FB698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Z</w:t>
            </w:r>
          </w:p>
        </w:tc>
        <w:tc>
          <w:tcPr>
            <w:tcW w:w="708" w:type="dxa"/>
            <w:noWrap/>
            <w:vAlign w:val="bottom"/>
          </w:tcPr>
          <w:p w14:paraId="3D0D80D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Nivel-p</w:t>
            </w:r>
          </w:p>
        </w:tc>
        <w:tc>
          <w:tcPr>
            <w:tcW w:w="796" w:type="dxa"/>
            <w:noWrap/>
            <w:vAlign w:val="bottom"/>
          </w:tcPr>
          <w:p w14:paraId="4A15B07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Z ajustada</w:t>
            </w:r>
          </w:p>
        </w:tc>
        <w:tc>
          <w:tcPr>
            <w:tcW w:w="764" w:type="dxa"/>
            <w:noWrap/>
            <w:vAlign w:val="bottom"/>
          </w:tcPr>
          <w:p w14:paraId="3D1FD40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Nivel-</w:t>
            </w:r>
          </w:p>
          <w:p w14:paraId="09168BC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p</w:t>
            </w:r>
          </w:p>
        </w:tc>
        <w:tc>
          <w:tcPr>
            <w:tcW w:w="425" w:type="dxa"/>
            <w:noWrap/>
            <w:vAlign w:val="bottom"/>
          </w:tcPr>
          <w:p w14:paraId="40FD2CB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 Lic</w:t>
            </w:r>
          </w:p>
        </w:tc>
        <w:tc>
          <w:tcPr>
            <w:tcW w:w="430" w:type="dxa"/>
            <w:noWrap/>
            <w:vAlign w:val="bottom"/>
          </w:tcPr>
          <w:p w14:paraId="4BA8E64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 Pos</w:t>
            </w:r>
          </w:p>
        </w:tc>
        <w:tc>
          <w:tcPr>
            <w:tcW w:w="846" w:type="dxa"/>
            <w:noWrap/>
            <w:vAlign w:val="bottom"/>
          </w:tcPr>
          <w:p w14:paraId="2998344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2*1 p exacta</w:t>
            </w:r>
          </w:p>
        </w:tc>
      </w:tr>
      <w:tr w:rsidR="000850FC" w:rsidRPr="00CF71FB" w14:paraId="3DC06AAF" w14:textId="77777777" w:rsidTr="00CF71FB">
        <w:trPr>
          <w:trHeight w:val="300"/>
          <w:jc w:val="center"/>
        </w:trPr>
        <w:tc>
          <w:tcPr>
            <w:tcW w:w="1340" w:type="dxa"/>
            <w:noWrap/>
            <w:vAlign w:val="bottom"/>
          </w:tcPr>
          <w:p w14:paraId="3BD0DE3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Pedagógica</w:t>
            </w:r>
          </w:p>
        </w:tc>
        <w:tc>
          <w:tcPr>
            <w:tcW w:w="798" w:type="dxa"/>
            <w:noWrap/>
            <w:vAlign w:val="center"/>
          </w:tcPr>
          <w:p w14:paraId="56E95884"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1603.00</w:t>
            </w:r>
          </w:p>
        </w:tc>
        <w:tc>
          <w:tcPr>
            <w:tcW w:w="850" w:type="dxa"/>
            <w:noWrap/>
            <w:vAlign w:val="center"/>
          </w:tcPr>
          <w:p w14:paraId="50F5A1C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2225.00</w:t>
            </w:r>
          </w:p>
        </w:tc>
        <w:tc>
          <w:tcPr>
            <w:tcW w:w="709" w:type="dxa"/>
            <w:noWrap/>
            <w:vAlign w:val="center"/>
          </w:tcPr>
          <w:p w14:paraId="7A4D6494"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847.00</w:t>
            </w:r>
          </w:p>
        </w:tc>
        <w:tc>
          <w:tcPr>
            <w:tcW w:w="851" w:type="dxa"/>
            <w:noWrap/>
            <w:vAlign w:val="center"/>
          </w:tcPr>
          <w:p w14:paraId="06186E91"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0.5453</w:t>
            </w:r>
          </w:p>
        </w:tc>
        <w:tc>
          <w:tcPr>
            <w:tcW w:w="708" w:type="dxa"/>
            <w:noWrap/>
            <w:vAlign w:val="center"/>
          </w:tcPr>
          <w:p w14:paraId="72565A42"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0.5855</w:t>
            </w:r>
          </w:p>
        </w:tc>
        <w:tc>
          <w:tcPr>
            <w:tcW w:w="796" w:type="dxa"/>
            <w:noWrap/>
            <w:vAlign w:val="center"/>
          </w:tcPr>
          <w:p w14:paraId="75D18EE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0.5491</w:t>
            </w:r>
          </w:p>
        </w:tc>
        <w:tc>
          <w:tcPr>
            <w:tcW w:w="764" w:type="dxa"/>
            <w:noWrap/>
            <w:vAlign w:val="center"/>
          </w:tcPr>
          <w:p w14:paraId="0364611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0.5830</w:t>
            </w:r>
          </w:p>
        </w:tc>
        <w:tc>
          <w:tcPr>
            <w:tcW w:w="425" w:type="dxa"/>
            <w:noWrap/>
            <w:vAlign w:val="center"/>
          </w:tcPr>
          <w:p w14:paraId="3CED0D6A"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35</w:t>
            </w:r>
          </w:p>
        </w:tc>
        <w:tc>
          <w:tcPr>
            <w:tcW w:w="430" w:type="dxa"/>
            <w:noWrap/>
            <w:vAlign w:val="center"/>
          </w:tcPr>
          <w:p w14:paraId="6D286A7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52</w:t>
            </w:r>
          </w:p>
        </w:tc>
        <w:tc>
          <w:tcPr>
            <w:tcW w:w="846" w:type="dxa"/>
            <w:noWrap/>
            <w:vAlign w:val="center"/>
          </w:tcPr>
          <w:p w14:paraId="4289DBC2"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0.5904</w:t>
            </w:r>
          </w:p>
        </w:tc>
      </w:tr>
      <w:tr w:rsidR="000850FC" w:rsidRPr="00CF71FB" w14:paraId="45BF13B7" w14:textId="77777777" w:rsidTr="00CF71FB">
        <w:trPr>
          <w:trHeight w:val="300"/>
          <w:jc w:val="center"/>
        </w:trPr>
        <w:tc>
          <w:tcPr>
            <w:tcW w:w="1340" w:type="dxa"/>
            <w:noWrap/>
            <w:vAlign w:val="bottom"/>
          </w:tcPr>
          <w:p w14:paraId="19C980D0"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Social</w:t>
            </w:r>
          </w:p>
        </w:tc>
        <w:tc>
          <w:tcPr>
            <w:tcW w:w="798" w:type="dxa"/>
            <w:noWrap/>
            <w:vAlign w:val="center"/>
          </w:tcPr>
          <w:p w14:paraId="625F58BE"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1653.00</w:t>
            </w:r>
          </w:p>
        </w:tc>
        <w:tc>
          <w:tcPr>
            <w:tcW w:w="850" w:type="dxa"/>
            <w:noWrap/>
            <w:vAlign w:val="center"/>
          </w:tcPr>
          <w:p w14:paraId="7EDC5F2A"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2175.00</w:t>
            </w:r>
          </w:p>
        </w:tc>
        <w:tc>
          <w:tcPr>
            <w:tcW w:w="709" w:type="dxa"/>
            <w:noWrap/>
            <w:vAlign w:val="center"/>
          </w:tcPr>
          <w:p w14:paraId="673BCEE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797.00</w:t>
            </w:r>
          </w:p>
        </w:tc>
        <w:tc>
          <w:tcPr>
            <w:tcW w:w="851" w:type="dxa"/>
            <w:noWrap/>
            <w:vAlign w:val="center"/>
          </w:tcPr>
          <w:p w14:paraId="7C7D95D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0.9781</w:t>
            </w:r>
          </w:p>
        </w:tc>
        <w:tc>
          <w:tcPr>
            <w:tcW w:w="708" w:type="dxa"/>
            <w:noWrap/>
            <w:vAlign w:val="center"/>
          </w:tcPr>
          <w:p w14:paraId="78EA20B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0.3280</w:t>
            </w:r>
          </w:p>
        </w:tc>
        <w:tc>
          <w:tcPr>
            <w:tcW w:w="796" w:type="dxa"/>
            <w:noWrap/>
            <w:vAlign w:val="center"/>
          </w:tcPr>
          <w:p w14:paraId="48F6BF03"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0.9993</w:t>
            </w:r>
          </w:p>
        </w:tc>
        <w:tc>
          <w:tcPr>
            <w:tcW w:w="764" w:type="dxa"/>
            <w:noWrap/>
            <w:vAlign w:val="center"/>
          </w:tcPr>
          <w:p w14:paraId="3D0AB387"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0.3176</w:t>
            </w:r>
          </w:p>
        </w:tc>
        <w:tc>
          <w:tcPr>
            <w:tcW w:w="425" w:type="dxa"/>
            <w:noWrap/>
            <w:vAlign w:val="center"/>
          </w:tcPr>
          <w:p w14:paraId="5E9608E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35</w:t>
            </w:r>
          </w:p>
        </w:tc>
        <w:tc>
          <w:tcPr>
            <w:tcW w:w="430" w:type="dxa"/>
            <w:noWrap/>
            <w:vAlign w:val="center"/>
          </w:tcPr>
          <w:p w14:paraId="3CE13F7E"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52</w:t>
            </w:r>
          </w:p>
        </w:tc>
        <w:tc>
          <w:tcPr>
            <w:tcW w:w="846" w:type="dxa"/>
            <w:noWrap/>
            <w:vAlign w:val="center"/>
          </w:tcPr>
          <w:p w14:paraId="284DA4F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0.3320</w:t>
            </w:r>
          </w:p>
        </w:tc>
      </w:tr>
      <w:tr w:rsidR="000850FC" w:rsidRPr="00CF71FB" w14:paraId="72C3E279" w14:textId="77777777" w:rsidTr="00CF71FB">
        <w:trPr>
          <w:trHeight w:val="300"/>
          <w:jc w:val="center"/>
        </w:trPr>
        <w:tc>
          <w:tcPr>
            <w:tcW w:w="1340" w:type="dxa"/>
            <w:noWrap/>
            <w:vAlign w:val="bottom"/>
          </w:tcPr>
          <w:p w14:paraId="4E6427D9"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Administrativa</w:t>
            </w:r>
          </w:p>
        </w:tc>
        <w:tc>
          <w:tcPr>
            <w:tcW w:w="798" w:type="dxa"/>
            <w:noWrap/>
            <w:vAlign w:val="center"/>
          </w:tcPr>
          <w:p w14:paraId="73599DE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1600.50</w:t>
            </w:r>
          </w:p>
        </w:tc>
        <w:tc>
          <w:tcPr>
            <w:tcW w:w="850" w:type="dxa"/>
            <w:noWrap/>
            <w:vAlign w:val="center"/>
          </w:tcPr>
          <w:p w14:paraId="500B7A3D"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2227.50</w:t>
            </w:r>
          </w:p>
        </w:tc>
        <w:tc>
          <w:tcPr>
            <w:tcW w:w="709" w:type="dxa"/>
            <w:noWrap/>
            <w:vAlign w:val="center"/>
          </w:tcPr>
          <w:p w14:paraId="635D4F6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849.50</w:t>
            </w:r>
          </w:p>
        </w:tc>
        <w:tc>
          <w:tcPr>
            <w:tcW w:w="851" w:type="dxa"/>
            <w:noWrap/>
            <w:vAlign w:val="center"/>
          </w:tcPr>
          <w:p w14:paraId="0DBBE2B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0.5237</w:t>
            </w:r>
          </w:p>
        </w:tc>
        <w:tc>
          <w:tcPr>
            <w:tcW w:w="708" w:type="dxa"/>
            <w:noWrap/>
            <w:vAlign w:val="center"/>
          </w:tcPr>
          <w:p w14:paraId="7BF50DB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0.6005</w:t>
            </w:r>
          </w:p>
        </w:tc>
        <w:tc>
          <w:tcPr>
            <w:tcW w:w="796" w:type="dxa"/>
            <w:noWrap/>
            <w:vAlign w:val="center"/>
          </w:tcPr>
          <w:p w14:paraId="031D49F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0.5319</w:t>
            </w:r>
          </w:p>
        </w:tc>
        <w:tc>
          <w:tcPr>
            <w:tcW w:w="764" w:type="dxa"/>
            <w:noWrap/>
            <w:vAlign w:val="center"/>
          </w:tcPr>
          <w:p w14:paraId="15ABE3C0"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0.5948</w:t>
            </w:r>
          </w:p>
        </w:tc>
        <w:tc>
          <w:tcPr>
            <w:tcW w:w="425" w:type="dxa"/>
            <w:noWrap/>
            <w:vAlign w:val="center"/>
          </w:tcPr>
          <w:p w14:paraId="7E4CEDC1"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35</w:t>
            </w:r>
          </w:p>
        </w:tc>
        <w:tc>
          <w:tcPr>
            <w:tcW w:w="430" w:type="dxa"/>
            <w:noWrap/>
            <w:vAlign w:val="center"/>
          </w:tcPr>
          <w:p w14:paraId="6849EE03"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52</w:t>
            </w:r>
          </w:p>
        </w:tc>
        <w:tc>
          <w:tcPr>
            <w:tcW w:w="846" w:type="dxa"/>
            <w:noWrap/>
            <w:vAlign w:val="center"/>
          </w:tcPr>
          <w:p w14:paraId="773CCE51"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0.6023</w:t>
            </w:r>
          </w:p>
        </w:tc>
      </w:tr>
      <w:tr w:rsidR="000850FC" w:rsidRPr="00CF71FB" w14:paraId="460006EA" w14:textId="77777777" w:rsidTr="00CF71FB">
        <w:trPr>
          <w:trHeight w:val="300"/>
          <w:jc w:val="center"/>
        </w:trPr>
        <w:tc>
          <w:tcPr>
            <w:tcW w:w="1340" w:type="dxa"/>
            <w:noWrap/>
            <w:vAlign w:val="bottom"/>
          </w:tcPr>
          <w:p w14:paraId="5FD42F4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Tecnológica</w:t>
            </w:r>
          </w:p>
        </w:tc>
        <w:tc>
          <w:tcPr>
            <w:tcW w:w="798" w:type="dxa"/>
            <w:noWrap/>
            <w:vAlign w:val="center"/>
          </w:tcPr>
          <w:p w14:paraId="6A2658E2"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1435.50</w:t>
            </w:r>
          </w:p>
        </w:tc>
        <w:tc>
          <w:tcPr>
            <w:tcW w:w="850" w:type="dxa"/>
            <w:noWrap/>
            <w:vAlign w:val="center"/>
          </w:tcPr>
          <w:p w14:paraId="5C2CC8BE"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2392.50</w:t>
            </w:r>
          </w:p>
        </w:tc>
        <w:tc>
          <w:tcPr>
            <w:tcW w:w="709" w:type="dxa"/>
            <w:noWrap/>
            <w:vAlign w:val="center"/>
          </w:tcPr>
          <w:p w14:paraId="3D1DF76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805.50</w:t>
            </w:r>
          </w:p>
        </w:tc>
        <w:tc>
          <w:tcPr>
            <w:tcW w:w="851" w:type="dxa"/>
            <w:noWrap/>
            <w:vAlign w:val="center"/>
          </w:tcPr>
          <w:p w14:paraId="41A987E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-0.9045</w:t>
            </w:r>
          </w:p>
        </w:tc>
        <w:tc>
          <w:tcPr>
            <w:tcW w:w="708" w:type="dxa"/>
            <w:noWrap/>
            <w:vAlign w:val="center"/>
          </w:tcPr>
          <w:p w14:paraId="1FCFA66D"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0.3657</w:t>
            </w:r>
          </w:p>
        </w:tc>
        <w:tc>
          <w:tcPr>
            <w:tcW w:w="796" w:type="dxa"/>
            <w:noWrap/>
            <w:vAlign w:val="center"/>
          </w:tcPr>
          <w:p w14:paraId="7C30609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-0.9189</w:t>
            </w:r>
          </w:p>
        </w:tc>
        <w:tc>
          <w:tcPr>
            <w:tcW w:w="764" w:type="dxa"/>
            <w:noWrap/>
            <w:vAlign w:val="center"/>
          </w:tcPr>
          <w:p w14:paraId="66F6552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0.3581</w:t>
            </w:r>
          </w:p>
        </w:tc>
        <w:tc>
          <w:tcPr>
            <w:tcW w:w="425" w:type="dxa"/>
            <w:noWrap/>
            <w:vAlign w:val="center"/>
          </w:tcPr>
          <w:p w14:paraId="132D79F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35</w:t>
            </w:r>
          </w:p>
        </w:tc>
        <w:tc>
          <w:tcPr>
            <w:tcW w:w="430" w:type="dxa"/>
            <w:noWrap/>
            <w:vAlign w:val="center"/>
          </w:tcPr>
          <w:p w14:paraId="52AD7098"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52</w:t>
            </w:r>
          </w:p>
        </w:tc>
        <w:tc>
          <w:tcPr>
            <w:tcW w:w="846" w:type="dxa"/>
            <w:noWrap/>
            <w:vAlign w:val="center"/>
          </w:tcPr>
          <w:p w14:paraId="62C54BF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0.3676</w:t>
            </w:r>
          </w:p>
        </w:tc>
      </w:tr>
      <w:tr w:rsidR="000850FC" w:rsidRPr="00CF71FB" w14:paraId="69FA0BA2" w14:textId="77777777" w:rsidTr="00CF71FB">
        <w:trPr>
          <w:trHeight w:val="300"/>
          <w:jc w:val="center"/>
        </w:trPr>
        <w:tc>
          <w:tcPr>
            <w:tcW w:w="1340" w:type="dxa"/>
            <w:noWrap/>
            <w:vAlign w:val="bottom"/>
          </w:tcPr>
          <w:p w14:paraId="0A162417"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Evaluativa</w:t>
            </w:r>
          </w:p>
        </w:tc>
        <w:tc>
          <w:tcPr>
            <w:tcW w:w="798" w:type="dxa"/>
            <w:noWrap/>
            <w:vAlign w:val="center"/>
          </w:tcPr>
          <w:p w14:paraId="0E733B1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1487.50</w:t>
            </w:r>
          </w:p>
        </w:tc>
        <w:tc>
          <w:tcPr>
            <w:tcW w:w="850" w:type="dxa"/>
            <w:noWrap/>
            <w:vAlign w:val="center"/>
          </w:tcPr>
          <w:p w14:paraId="75AF4FD9"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2340.50</w:t>
            </w:r>
          </w:p>
        </w:tc>
        <w:tc>
          <w:tcPr>
            <w:tcW w:w="709" w:type="dxa"/>
            <w:noWrap/>
            <w:vAlign w:val="center"/>
          </w:tcPr>
          <w:p w14:paraId="61973E40"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857.50</w:t>
            </w:r>
          </w:p>
        </w:tc>
        <w:tc>
          <w:tcPr>
            <w:tcW w:w="851" w:type="dxa"/>
            <w:noWrap/>
            <w:vAlign w:val="center"/>
          </w:tcPr>
          <w:p w14:paraId="023C185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-0.4544</w:t>
            </w:r>
          </w:p>
        </w:tc>
        <w:tc>
          <w:tcPr>
            <w:tcW w:w="708" w:type="dxa"/>
            <w:noWrap/>
            <w:vAlign w:val="center"/>
          </w:tcPr>
          <w:p w14:paraId="567F459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0.6495</w:t>
            </w:r>
          </w:p>
        </w:tc>
        <w:tc>
          <w:tcPr>
            <w:tcW w:w="796" w:type="dxa"/>
            <w:noWrap/>
            <w:vAlign w:val="center"/>
          </w:tcPr>
          <w:p w14:paraId="6B9E3063"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-0.4633</w:t>
            </w:r>
          </w:p>
        </w:tc>
        <w:tc>
          <w:tcPr>
            <w:tcW w:w="764" w:type="dxa"/>
            <w:noWrap/>
            <w:vAlign w:val="center"/>
          </w:tcPr>
          <w:p w14:paraId="2EB3381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0.6432</w:t>
            </w:r>
          </w:p>
        </w:tc>
        <w:tc>
          <w:tcPr>
            <w:tcW w:w="425" w:type="dxa"/>
            <w:noWrap/>
            <w:vAlign w:val="center"/>
          </w:tcPr>
          <w:p w14:paraId="2C7B49AF"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35</w:t>
            </w:r>
          </w:p>
        </w:tc>
        <w:tc>
          <w:tcPr>
            <w:tcW w:w="430" w:type="dxa"/>
            <w:noWrap/>
            <w:vAlign w:val="center"/>
          </w:tcPr>
          <w:p w14:paraId="10C68011"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52</w:t>
            </w:r>
          </w:p>
        </w:tc>
        <w:tc>
          <w:tcPr>
            <w:tcW w:w="846" w:type="dxa"/>
            <w:noWrap/>
            <w:vAlign w:val="center"/>
          </w:tcPr>
          <w:p w14:paraId="2A2BB636"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0.6512</w:t>
            </w:r>
          </w:p>
        </w:tc>
      </w:tr>
    </w:tbl>
    <w:p w14:paraId="389D33C6" w14:textId="77777777" w:rsidR="000850FC" w:rsidRDefault="000850FC" w:rsidP="000850FC">
      <w:pPr>
        <w:jc w:val="center"/>
        <w:rPr>
          <w:rFonts w:cs="Times New Roman"/>
          <w:lang w:val="es-ES"/>
        </w:rPr>
      </w:pPr>
      <w:r w:rsidRPr="00ED6DA0">
        <w:t>Fuente: Elaboración propia</w:t>
      </w:r>
    </w:p>
    <w:p w14:paraId="01D7F851" w14:textId="77777777" w:rsidR="000850FC" w:rsidRDefault="000850FC" w:rsidP="000850FC">
      <w:pPr>
        <w:ind w:firstLine="708"/>
        <w:rPr>
          <w:rFonts w:cs="Times New Roman"/>
          <w:lang w:val="es-ES"/>
        </w:rPr>
      </w:pPr>
      <w:r>
        <w:rPr>
          <w:rFonts w:cs="Times New Roman"/>
          <w:lang w:val="es-ES"/>
        </w:rPr>
        <w:t>La misma prueba U de Mann Whitney aplicada para comprobar la hipótesis de que la experiencia previa como facilitadores afecta su percepción de la competencia de sus facilitadores reportó para todas las competencias valores superiores a .05,</w:t>
      </w:r>
      <w:r>
        <w:t xml:space="preserve"> lo que indica que no hay diferencia en las percepciones de los estudiantes sobre las competencias de sus docentes, a</w:t>
      </w:r>
      <w:r w:rsidR="00271854">
        <w:t>u</w:t>
      </w:r>
      <w:r>
        <w:t>n si estos tienen experiencia a su vez como facilitadores</w:t>
      </w:r>
      <w:r>
        <w:rPr>
          <w:rFonts w:cs="Times New Roman"/>
          <w:lang w:val="es-ES"/>
        </w:rPr>
        <w:t>, por lo que se acept</w:t>
      </w:r>
      <w:r w:rsidR="00271854">
        <w:rPr>
          <w:rFonts w:cs="Times New Roman"/>
          <w:lang w:val="es-ES"/>
        </w:rPr>
        <w:t>a</w:t>
      </w:r>
      <w:r>
        <w:rPr>
          <w:rFonts w:cs="Times New Roman"/>
          <w:lang w:val="es-ES"/>
        </w:rPr>
        <w:t xml:space="preserve"> la hipótesis nula (H4) (</w:t>
      </w:r>
      <w:r w:rsidR="00271854">
        <w:rPr>
          <w:rFonts w:cs="Times New Roman"/>
          <w:lang w:val="es-ES"/>
        </w:rPr>
        <w:t>t</w:t>
      </w:r>
      <w:r>
        <w:rPr>
          <w:rFonts w:cs="Times New Roman"/>
          <w:lang w:val="es-ES"/>
        </w:rPr>
        <w:t>abla 9).</w:t>
      </w:r>
    </w:p>
    <w:p w14:paraId="555DF68B" w14:textId="24416810" w:rsidR="000850FC" w:rsidRDefault="000850FC" w:rsidP="000850FC">
      <w:pPr>
        <w:ind w:firstLine="708"/>
        <w:rPr>
          <w:rFonts w:cs="Times New Roman"/>
          <w:lang w:val="es-ES"/>
        </w:rPr>
      </w:pPr>
    </w:p>
    <w:p w14:paraId="7C41E674" w14:textId="0732FCA3" w:rsidR="00727258" w:rsidRDefault="00727258" w:rsidP="000850FC">
      <w:pPr>
        <w:ind w:firstLine="708"/>
        <w:rPr>
          <w:rFonts w:cs="Times New Roman"/>
          <w:lang w:val="es-ES"/>
        </w:rPr>
      </w:pPr>
    </w:p>
    <w:p w14:paraId="4A129C81" w14:textId="470AEFE8" w:rsidR="00727258" w:rsidRDefault="00727258" w:rsidP="000850FC">
      <w:pPr>
        <w:ind w:firstLine="708"/>
        <w:rPr>
          <w:rFonts w:cs="Times New Roman"/>
          <w:lang w:val="es-ES"/>
        </w:rPr>
      </w:pPr>
    </w:p>
    <w:p w14:paraId="09A27878" w14:textId="271B5998" w:rsidR="00727258" w:rsidRDefault="00727258" w:rsidP="000850FC">
      <w:pPr>
        <w:ind w:firstLine="708"/>
        <w:rPr>
          <w:rFonts w:cs="Times New Roman"/>
          <w:lang w:val="es-ES"/>
        </w:rPr>
      </w:pPr>
    </w:p>
    <w:p w14:paraId="5F48E32D" w14:textId="77777777" w:rsidR="002226F3" w:rsidRDefault="002226F3" w:rsidP="000850FC">
      <w:pPr>
        <w:ind w:firstLine="708"/>
        <w:rPr>
          <w:rFonts w:cs="Times New Roman"/>
          <w:lang w:val="es-ES"/>
        </w:rPr>
      </w:pPr>
    </w:p>
    <w:p w14:paraId="10C81867" w14:textId="77777777" w:rsidR="000850FC" w:rsidRPr="00ED6DA0" w:rsidRDefault="000850FC" w:rsidP="00271854">
      <w:pPr>
        <w:pStyle w:val="Ttulo7"/>
        <w:jc w:val="center"/>
      </w:pPr>
      <w:r w:rsidRPr="00271854">
        <w:rPr>
          <w:b/>
        </w:rPr>
        <w:lastRenderedPageBreak/>
        <w:t>Tabla 9.</w:t>
      </w:r>
      <w:r w:rsidRPr="00135290">
        <w:t xml:space="preserve"> </w:t>
      </w:r>
      <w:bookmarkStart w:id="6" w:name="_Toc300909798"/>
      <w:r w:rsidRPr="00ED6DA0">
        <w:t xml:space="preserve">Prueba de hipótesis U de Mann-Whitney con variable </w:t>
      </w:r>
      <w:r w:rsidRPr="00271854">
        <w:rPr>
          <w:i/>
        </w:rPr>
        <w:t>experiencia previa</w:t>
      </w:r>
      <w:bookmarkEnd w:id="6"/>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74"/>
        <w:gridCol w:w="917"/>
        <w:gridCol w:w="847"/>
        <w:gridCol w:w="797"/>
        <w:gridCol w:w="848"/>
        <w:gridCol w:w="797"/>
        <w:gridCol w:w="924"/>
        <w:gridCol w:w="797"/>
        <w:gridCol w:w="525"/>
        <w:gridCol w:w="525"/>
        <w:gridCol w:w="843"/>
      </w:tblGrid>
      <w:tr w:rsidR="000850FC" w:rsidRPr="00CF71FB" w14:paraId="07EA162F" w14:textId="77777777" w:rsidTr="00CF71FB">
        <w:trPr>
          <w:trHeight w:val="300"/>
          <w:jc w:val="center"/>
        </w:trPr>
        <w:tc>
          <w:tcPr>
            <w:tcW w:w="1340" w:type="dxa"/>
            <w:noWrap/>
            <w:vAlign w:val="bottom"/>
          </w:tcPr>
          <w:p w14:paraId="675CF318"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 </w:t>
            </w:r>
          </w:p>
        </w:tc>
        <w:tc>
          <w:tcPr>
            <w:tcW w:w="798" w:type="dxa"/>
            <w:noWrap/>
            <w:vAlign w:val="bottom"/>
          </w:tcPr>
          <w:p w14:paraId="73E6CB17"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Suma rango 1</w:t>
            </w:r>
          </w:p>
        </w:tc>
        <w:tc>
          <w:tcPr>
            <w:tcW w:w="850" w:type="dxa"/>
            <w:noWrap/>
            <w:vAlign w:val="bottom"/>
          </w:tcPr>
          <w:p w14:paraId="780A165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Suma rango 2</w:t>
            </w:r>
          </w:p>
        </w:tc>
        <w:tc>
          <w:tcPr>
            <w:tcW w:w="709" w:type="dxa"/>
            <w:noWrap/>
            <w:vAlign w:val="bottom"/>
          </w:tcPr>
          <w:p w14:paraId="36089B91"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U</w:t>
            </w:r>
          </w:p>
        </w:tc>
        <w:tc>
          <w:tcPr>
            <w:tcW w:w="851" w:type="dxa"/>
            <w:noWrap/>
            <w:vAlign w:val="bottom"/>
          </w:tcPr>
          <w:p w14:paraId="0344E2EB"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Z</w:t>
            </w:r>
          </w:p>
        </w:tc>
        <w:tc>
          <w:tcPr>
            <w:tcW w:w="708" w:type="dxa"/>
            <w:noWrap/>
            <w:vAlign w:val="bottom"/>
          </w:tcPr>
          <w:p w14:paraId="04C211AA"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Nivel-p</w:t>
            </w:r>
          </w:p>
        </w:tc>
        <w:tc>
          <w:tcPr>
            <w:tcW w:w="851" w:type="dxa"/>
            <w:noWrap/>
            <w:vAlign w:val="bottom"/>
          </w:tcPr>
          <w:p w14:paraId="242C546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Z ajustada</w:t>
            </w:r>
          </w:p>
        </w:tc>
        <w:tc>
          <w:tcPr>
            <w:tcW w:w="709" w:type="dxa"/>
            <w:noWrap/>
            <w:vAlign w:val="bottom"/>
          </w:tcPr>
          <w:p w14:paraId="53AE628D"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 xml:space="preserve">Nivel-p </w:t>
            </w:r>
          </w:p>
        </w:tc>
        <w:tc>
          <w:tcPr>
            <w:tcW w:w="463" w:type="dxa"/>
            <w:noWrap/>
            <w:vAlign w:val="bottom"/>
          </w:tcPr>
          <w:p w14:paraId="64078AD5"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No Exp</w:t>
            </w:r>
          </w:p>
        </w:tc>
        <w:tc>
          <w:tcPr>
            <w:tcW w:w="463" w:type="dxa"/>
            <w:noWrap/>
            <w:vAlign w:val="bottom"/>
          </w:tcPr>
          <w:p w14:paraId="1065FA2E"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Si Exp</w:t>
            </w:r>
          </w:p>
        </w:tc>
        <w:tc>
          <w:tcPr>
            <w:tcW w:w="846" w:type="dxa"/>
            <w:noWrap/>
            <w:vAlign w:val="bottom"/>
          </w:tcPr>
          <w:p w14:paraId="333B604C" w14:textId="77777777" w:rsidR="000850FC" w:rsidRPr="00CF71FB" w:rsidRDefault="000850FC" w:rsidP="00B324BD">
            <w:pPr>
              <w:spacing w:line="240" w:lineRule="auto"/>
              <w:jc w:val="center"/>
              <w:rPr>
                <w:rFonts w:cs="Times New Roman"/>
                <w:color w:val="000000"/>
                <w:lang w:eastAsia="es-ES"/>
              </w:rPr>
            </w:pPr>
            <w:r w:rsidRPr="00CF71FB">
              <w:rPr>
                <w:rFonts w:cs="Times New Roman"/>
                <w:color w:val="000000"/>
                <w:lang w:eastAsia="es-ES"/>
              </w:rPr>
              <w:t>2*1 p exacta</w:t>
            </w:r>
          </w:p>
        </w:tc>
      </w:tr>
      <w:tr w:rsidR="000850FC" w:rsidRPr="00CF71FB" w14:paraId="0DB05C1E" w14:textId="77777777" w:rsidTr="00CF71FB">
        <w:trPr>
          <w:trHeight w:val="300"/>
          <w:jc w:val="center"/>
        </w:trPr>
        <w:tc>
          <w:tcPr>
            <w:tcW w:w="1340" w:type="dxa"/>
            <w:noWrap/>
            <w:vAlign w:val="bottom"/>
          </w:tcPr>
          <w:p w14:paraId="3A61C2FF"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Pedagógica</w:t>
            </w:r>
          </w:p>
        </w:tc>
        <w:tc>
          <w:tcPr>
            <w:tcW w:w="798" w:type="dxa"/>
            <w:noWrap/>
            <w:vAlign w:val="center"/>
          </w:tcPr>
          <w:p w14:paraId="538273C6"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3368.00</w:t>
            </w:r>
          </w:p>
        </w:tc>
        <w:tc>
          <w:tcPr>
            <w:tcW w:w="850" w:type="dxa"/>
            <w:noWrap/>
            <w:vAlign w:val="center"/>
          </w:tcPr>
          <w:p w14:paraId="4EA0432D"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460.00</w:t>
            </w:r>
          </w:p>
        </w:tc>
        <w:tc>
          <w:tcPr>
            <w:tcW w:w="709" w:type="dxa"/>
            <w:noWrap/>
            <w:vAlign w:val="center"/>
          </w:tcPr>
          <w:p w14:paraId="753E03CA"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394.00</w:t>
            </w:r>
          </w:p>
        </w:tc>
        <w:tc>
          <w:tcPr>
            <w:tcW w:w="851" w:type="dxa"/>
            <w:noWrap/>
            <w:vAlign w:val="center"/>
          </w:tcPr>
          <w:p w14:paraId="6724528B"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0.3065</w:t>
            </w:r>
          </w:p>
        </w:tc>
        <w:tc>
          <w:tcPr>
            <w:tcW w:w="708" w:type="dxa"/>
            <w:noWrap/>
            <w:vAlign w:val="center"/>
          </w:tcPr>
          <w:p w14:paraId="777F8991"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0.7592</w:t>
            </w:r>
          </w:p>
        </w:tc>
        <w:tc>
          <w:tcPr>
            <w:tcW w:w="851" w:type="dxa"/>
            <w:noWrap/>
            <w:vAlign w:val="center"/>
          </w:tcPr>
          <w:p w14:paraId="72CD6F2B"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0.3086</w:t>
            </w:r>
          </w:p>
        </w:tc>
        <w:tc>
          <w:tcPr>
            <w:tcW w:w="709" w:type="dxa"/>
            <w:noWrap/>
            <w:vAlign w:val="center"/>
          </w:tcPr>
          <w:p w14:paraId="4E2EA940"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0.7576</w:t>
            </w:r>
          </w:p>
        </w:tc>
        <w:tc>
          <w:tcPr>
            <w:tcW w:w="463" w:type="dxa"/>
            <w:noWrap/>
            <w:vAlign w:val="center"/>
          </w:tcPr>
          <w:p w14:paraId="6F1FD3FD"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76</w:t>
            </w:r>
          </w:p>
        </w:tc>
        <w:tc>
          <w:tcPr>
            <w:tcW w:w="463" w:type="dxa"/>
            <w:noWrap/>
            <w:vAlign w:val="center"/>
          </w:tcPr>
          <w:p w14:paraId="331485A6"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11</w:t>
            </w:r>
          </w:p>
        </w:tc>
        <w:tc>
          <w:tcPr>
            <w:tcW w:w="846" w:type="dxa"/>
            <w:noWrap/>
            <w:vAlign w:val="center"/>
          </w:tcPr>
          <w:p w14:paraId="35580B25"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0.7672</w:t>
            </w:r>
          </w:p>
        </w:tc>
      </w:tr>
      <w:tr w:rsidR="000850FC" w:rsidRPr="00CF71FB" w14:paraId="132D6F53" w14:textId="77777777" w:rsidTr="00CF71FB">
        <w:trPr>
          <w:trHeight w:val="300"/>
          <w:jc w:val="center"/>
        </w:trPr>
        <w:tc>
          <w:tcPr>
            <w:tcW w:w="1340" w:type="dxa"/>
            <w:noWrap/>
            <w:vAlign w:val="bottom"/>
          </w:tcPr>
          <w:p w14:paraId="41CA9DED"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Social</w:t>
            </w:r>
          </w:p>
        </w:tc>
        <w:tc>
          <w:tcPr>
            <w:tcW w:w="798" w:type="dxa"/>
            <w:noWrap/>
            <w:vAlign w:val="center"/>
          </w:tcPr>
          <w:p w14:paraId="15195B53"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3302.50</w:t>
            </w:r>
          </w:p>
        </w:tc>
        <w:tc>
          <w:tcPr>
            <w:tcW w:w="850" w:type="dxa"/>
            <w:noWrap/>
            <w:vAlign w:val="center"/>
          </w:tcPr>
          <w:p w14:paraId="08D14AE9"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525.50</w:t>
            </w:r>
          </w:p>
        </w:tc>
        <w:tc>
          <w:tcPr>
            <w:tcW w:w="709" w:type="dxa"/>
            <w:noWrap/>
            <w:vAlign w:val="center"/>
          </w:tcPr>
          <w:p w14:paraId="6033724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376.50</w:t>
            </w:r>
          </w:p>
        </w:tc>
        <w:tc>
          <w:tcPr>
            <w:tcW w:w="851" w:type="dxa"/>
            <w:noWrap/>
            <w:vAlign w:val="center"/>
          </w:tcPr>
          <w:p w14:paraId="30B32EDC"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-0.5300</w:t>
            </w:r>
          </w:p>
        </w:tc>
        <w:tc>
          <w:tcPr>
            <w:tcW w:w="708" w:type="dxa"/>
            <w:noWrap/>
            <w:vAlign w:val="center"/>
          </w:tcPr>
          <w:p w14:paraId="65198270"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0.5961</w:t>
            </w:r>
          </w:p>
        </w:tc>
        <w:tc>
          <w:tcPr>
            <w:tcW w:w="851" w:type="dxa"/>
            <w:noWrap/>
            <w:vAlign w:val="center"/>
          </w:tcPr>
          <w:p w14:paraId="1EADFEB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-0.5415</w:t>
            </w:r>
          </w:p>
        </w:tc>
        <w:tc>
          <w:tcPr>
            <w:tcW w:w="709" w:type="dxa"/>
            <w:noWrap/>
            <w:vAlign w:val="center"/>
          </w:tcPr>
          <w:p w14:paraId="1410BDBF"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0.5881</w:t>
            </w:r>
          </w:p>
        </w:tc>
        <w:tc>
          <w:tcPr>
            <w:tcW w:w="463" w:type="dxa"/>
            <w:noWrap/>
            <w:vAlign w:val="center"/>
          </w:tcPr>
          <w:p w14:paraId="614BFC03"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76</w:t>
            </w:r>
          </w:p>
        </w:tc>
        <w:tc>
          <w:tcPr>
            <w:tcW w:w="463" w:type="dxa"/>
            <w:noWrap/>
            <w:vAlign w:val="center"/>
          </w:tcPr>
          <w:p w14:paraId="3B0FDEB3"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11</w:t>
            </w:r>
          </w:p>
        </w:tc>
        <w:tc>
          <w:tcPr>
            <w:tcW w:w="846" w:type="dxa"/>
            <w:noWrap/>
            <w:vAlign w:val="center"/>
          </w:tcPr>
          <w:p w14:paraId="6ADF4A2C"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0.6008</w:t>
            </w:r>
          </w:p>
        </w:tc>
      </w:tr>
      <w:tr w:rsidR="000850FC" w:rsidRPr="00CF71FB" w14:paraId="2DD80295" w14:textId="77777777" w:rsidTr="00CF71FB">
        <w:trPr>
          <w:trHeight w:val="300"/>
          <w:jc w:val="center"/>
        </w:trPr>
        <w:tc>
          <w:tcPr>
            <w:tcW w:w="1340" w:type="dxa"/>
            <w:noWrap/>
            <w:vAlign w:val="bottom"/>
          </w:tcPr>
          <w:p w14:paraId="51148803"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Administrativa</w:t>
            </w:r>
          </w:p>
        </w:tc>
        <w:tc>
          <w:tcPr>
            <w:tcW w:w="798" w:type="dxa"/>
            <w:noWrap/>
            <w:vAlign w:val="center"/>
          </w:tcPr>
          <w:p w14:paraId="1BB2B229"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3315.50</w:t>
            </w:r>
          </w:p>
        </w:tc>
        <w:tc>
          <w:tcPr>
            <w:tcW w:w="850" w:type="dxa"/>
            <w:noWrap/>
            <w:vAlign w:val="center"/>
          </w:tcPr>
          <w:p w14:paraId="316984EB"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512.50</w:t>
            </w:r>
          </w:p>
        </w:tc>
        <w:tc>
          <w:tcPr>
            <w:tcW w:w="709" w:type="dxa"/>
            <w:noWrap/>
            <w:vAlign w:val="center"/>
          </w:tcPr>
          <w:p w14:paraId="381D03CA"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389.50</w:t>
            </w:r>
          </w:p>
        </w:tc>
        <w:tc>
          <w:tcPr>
            <w:tcW w:w="851" w:type="dxa"/>
            <w:noWrap/>
            <w:vAlign w:val="center"/>
          </w:tcPr>
          <w:p w14:paraId="4C271CBF"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-0.3640</w:t>
            </w:r>
          </w:p>
        </w:tc>
        <w:tc>
          <w:tcPr>
            <w:tcW w:w="708" w:type="dxa"/>
            <w:noWrap/>
            <w:vAlign w:val="center"/>
          </w:tcPr>
          <w:p w14:paraId="1386A65A"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0.7159</w:t>
            </w:r>
          </w:p>
        </w:tc>
        <w:tc>
          <w:tcPr>
            <w:tcW w:w="851" w:type="dxa"/>
            <w:noWrap/>
            <w:vAlign w:val="center"/>
          </w:tcPr>
          <w:p w14:paraId="2FA891CE"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-0.3697</w:t>
            </w:r>
          </w:p>
        </w:tc>
        <w:tc>
          <w:tcPr>
            <w:tcW w:w="709" w:type="dxa"/>
            <w:noWrap/>
            <w:vAlign w:val="center"/>
          </w:tcPr>
          <w:p w14:paraId="70EE4DC5"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0.7116</w:t>
            </w:r>
          </w:p>
        </w:tc>
        <w:tc>
          <w:tcPr>
            <w:tcW w:w="463" w:type="dxa"/>
            <w:noWrap/>
            <w:vAlign w:val="center"/>
          </w:tcPr>
          <w:p w14:paraId="012A78C7"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76</w:t>
            </w:r>
          </w:p>
        </w:tc>
        <w:tc>
          <w:tcPr>
            <w:tcW w:w="463" w:type="dxa"/>
            <w:noWrap/>
            <w:vAlign w:val="center"/>
          </w:tcPr>
          <w:p w14:paraId="556827A9"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11</w:t>
            </w:r>
          </w:p>
        </w:tc>
        <w:tc>
          <w:tcPr>
            <w:tcW w:w="846" w:type="dxa"/>
            <w:noWrap/>
            <w:vAlign w:val="center"/>
          </w:tcPr>
          <w:p w14:paraId="17C64F2C"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0.7195</w:t>
            </w:r>
          </w:p>
        </w:tc>
      </w:tr>
      <w:tr w:rsidR="000850FC" w:rsidRPr="00CF71FB" w14:paraId="03B0A608" w14:textId="77777777" w:rsidTr="00CF71FB">
        <w:trPr>
          <w:trHeight w:val="300"/>
          <w:jc w:val="center"/>
        </w:trPr>
        <w:tc>
          <w:tcPr>
            <w:tcW w:w="1340" w:type="dxa"/>
            <w:noWrap/>
            <w:vAlign w:val="bottom"/>
          </w:tcPr>
          <w:p w14:paraId="52E7DF6D"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Tecnológica</w:t>
            </w:r>
          </w:p>
        </w:tc>
        <w:tc>
          <w:tcPr>
            <w:tcW w:w="798" w:type="dxa"/>
            <w:noWrap/>
            <w:vAlign w:val="center"/>
          </w:tcPr>
          <w:p w14:paraId="24733583"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3338.00</w:t>
            </w:r>
          </w:p>
        </w:tc>
        <w:tc>
          <w:tcPr>
            <w:tcW w:w="850" w:type="dxa"/>
            <w:noWrap/>
            <w:vAlign w:val="center"/>
          </w:tcPr>
          <w:p w14:paraId="72D89F0E"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490.00</w:t>
            </w:r>
          </w:p>
        </w:tc>
        <w:tc>
          <w:tcPr>
            <w:tcW w:w="709" w:type="dxa"/>
            <w:noWrap/>
            <w:vAlign w:val="center"/>
          </w:tcPr>
          <w:p w14:paraId="7B5ACC53"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412.00</w:t>
            </w:r>
          </w:p>
        </w:tc>
        <w:tc>
          <w:tcPr>
            <w:tcW w:w="851" w:type="dxa"/>
            <w:noWrap/>
            <w:vAlign w:val="center"/>
          </w:tcPr>
          <w:p w14:paraId="655D9040"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-0.0766</w:t>
            </w:r>
          </w:p>
        </w:tc>
        <w:tc>
          <w:tcPr>
            <w:tcW w:w="708" w:type="dxa"/>
            <w:noWrap/>
            <w:vAlign w:val="center"/>
          </w:tcPr>
          <w:p w14:paraId="5173CA14"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0.9389</w:t>
            </w:r>
          </w:p>
        </w:tc>
        <w:tc>
          <w:tcPr>
            <w:tcW w:w="851" w:type="dxa"/>
            <w:noWrap/>
            <w:vAlign w:val="center"/>
          </w:tcPr>
          <w:p w14:paraId="621C518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-0.0778</w:t>
            </w:r>
          </w:p>
        </w:tc>
        <w:tc>
          <w:tcPr>
            <w:tcW w:w="709" w:type="dxa"/>
            <w:noWrap/>
            <w:vAlign w:val="center"/>
          </w:tcPr>
          <w:p w14:paraId="736FC5CF"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0.9379</w:t>
            </w:r>
          </w:p>
        </w:tc>
        <w:tc>
          <w:tcPr>
            <w:tcW w:w="463" w:type="dxa"/>
            <w:noWrap/>
            <w:vAlign w:val="center"/>
          </w:tcPr>
          <w:p w14:paraId="2204916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76</w:t>
            </w:r>
          </w:p>
        </w:tc>
        <w:tc>
          <w:tcPr>
            <w:tcW w:w="463" w:type="dxa"/>
            <w:noWrap/>
            <w:vAlign w:val="center"/>
          </w:tcPr>
          <w:p w14:paraId="244A27C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11</w:t>
            </w:r>
          </w:p>
        </w:tc>
        <w:tc>
          <w:tcPr>
            <w:tcW w:w="846" w:type="dxa"/>
            <w:noWrap/>
            <w:vAlign w:val="center"/>
          </w:tcPr>
          <w:p w14:paraId="4BE3F81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0.9448</w:t>
            </w:r>
          </w:p>
        </w:tc>
      </w:tr>
      <w:tr w:rsidR="000850FC" w:rsidRPr="00CF71FB" w14:paraId="0047894D" w14:textId="77777777" w:rsidTr="00CF71FB">
        <w:trPr>
          <w:trHeight w:val="300"/>
          <w:jc w:val="center"/>
        </w:trPr>
        <w:tc>
          <w:tcPr>
            <w:tcW w:w="1340" w:type="dxa"/>
            <w:noWrap/>
            <w:vAlign w:val="bottom"/>
          </w:tcPr>
          <w:p w14:paraId="2ADE2C11" w14:textId="77777777" w:rsidR="000850FC" w:rsidRPr="00CF71FB" w:rsidRDefault="000850FC" w:rsidP="00B324BD">
            <w:pPr>
              <w:spacing w:line="240" w:lineRule="auto"/>
              <w:rPr>
                <w:rFonts w:cs="Times New Roman"/>
                <w:color w:val="000000"/>
                <w:lang w:eastAsia="es-ES"/>
              </w:rPr>
            </w:pPr>
            <w:r w:rsidRPr="00CF71FB">
              <w:rPr>
                <w:rFonts w:cs="Times New Roman"/>
                <w:color w:val="000000"/>
                <w:lang w:eastAsia="es-ES"/>
              </w:rPr>
              <w:t>Evaluativa</w:t>
            </w:r>
          </w:p>
        </w:tc>
        <w:tc>
          <w:tcPr>
            <w:tcW w:w="798" w:type="dxa"/>
            <w:noWrap/>
            <w:vAlign w:val="center"/>
          </w:tcPr>
          <w:p w14:paraId="284D53A1"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3333.50</w:t>
            </w:r>
          </w:p>
        </w:tc>
        <w:tc>
          <w:tcPr>
            <w:tcW w:w="850" w:type="dxa"/>
            <w:noWrap/>
            <w:vAlign w:val="center"/>
          </w:tcPr>
          <w:p w14:paraId="398E1DF5"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494.50</w:t>
            </w:r>
          </w:p>
        </w:tc>
        <w:tc>
          <w:tcPr>
            <w:tcW w:w="709" w:type="dxa"/>
            <w:noWrap/>
            <w:vAlign w:val="center"/>
          </w:tcPr>
          <w:p w14:paraId="1C200B02"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407.50</w:t>
            </w:r>
          </w:p>
        </w:tc>
        <w:tc>
          <w:tcPr>
            <w:tcW w:w="851" w:type="dxa"/>
            <w:noWrap/>
            <w:vAlign w:val="center"/>
          </w:tcPr>
          <w:p w14:paraId="14531EC0"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-0.1341</w:t>
            </w:r>
          </w:p>
        </w:tc>
        <w:tc>
          <w:tcPr>
            <w:tcW w:w="708" w:type="dxa"/>
            <w:noWrap/>
            <w:vAlign w:val="center"/>
          </w:tcPr>
          <w:p w14:paraId="53CF691E"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0.8933</w:t>
            </w:r>
          </w:p>
        </w:tc>
        <w:tc>
          <w:tcPr>
            <w:tcW w:w="851" w:type="dxa"/>
            <w:noWrap/>
            <w:vAlign w:val="center"/>
          </w:tcPr>
          <w:p w14:paraId="570074AC"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-0.1367</w:t>
            </w:r>
          </w:p>
        </w:tc>
        <w:tc>
          <w:tcPr>
            <w:tcW w:w="709" w:type="dxa"/>
            <w:noWrap/>
            <w:vAlign w:val="center"/>
          </w:tcPr>
          <w:p w14:paraId="4788BCFB"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0.8913</w:t>
            </w:r>
          </w:p>
        </w:tc>
        <w:tc>
          <w:tcPr>
            <w:tcW w:w="463" w:type="dxa"/>
            <w:noWrap/>
            <w:vAlign w:val="center"/>
          </w:tcPr>
          <w:p w14:paraId="63C6C27F"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76</w:t>
            </w:r>
          </w:p>
        </w:tc>
        <w:tc>
          <w:tcPr>
            <w:tcW w:w="463" w:type="dxa"/>
            <w:noWrap/>
            <w:vAlign w:val="center"/>
          </w:tcPr>
          <w:p w14:paraId="5B206FC1"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11</w:t>
            </w:r>
          </w:p>
        </w:tc>
        <w:tc>
          <w:tcPr>
            <w:tcW w:w="846" w:type="dxa"/>
            <w:noWrap/>
            <w:vAlign w:val="center"/>
          </w:tcPr>
          <w:p w14:paraId="066C355B" w14:textId="77777777" w:rsidR="000850FC" w:rsidRPr="00CF71FB" w:rsidRDefault="000850FC" w:rsidP="00B324BD">
            <w:pPr>
              <w:spacing w:line="240" w:lineRule="auto"/>
              <w:jc w:val="right"/>
              <w:rPr>
                <w:rFonts w:cs="Times New Roman"/>
                <w:color w:val="000000"/>
                <w:lang w:eastAsia="es-ES"/>
              </w:rPr>
            </w:pPr>
            <w:r w:rsidRPr="00CF71FB">
              <w:rPr>
                <w:rFonts w:cs="Times New Roman"/>
                <w:color w:val="000000"/>
                <w:lang w:eastAsia="es-ES"/>
              </w:rPr>
              <w:t>0.8948</w:t>
            </w:r>
          </w:p>
        </w:tc>
      </w:tr>
    </w:tbl>
    <w:p w14:paraId="536B0D03" w14:textId="77777777" w:rsidR="000850FC" w:rsidRPr="00ED6DA0" w:rsidRDefault="000850FC" w:rsidP="000850FC">
      <w:pPr>
        <w:jc w:val="center"/>
      </w:pPr>
      <w:r w:rsidRPr="00ED6DA0">
        <w:t xml:space="preserve">Fuente: </w:t>
      </w:r>
      <w:r w:rsidR="00271854">
        <w:t>E</w:t>
      </w:r>
      <w:r w:rsidRPr="00ED6DA0">
        <w:t xml:space="preserve">laboración propia </w:t>
      </w:r>
    </w:p>
    <w:p w14:paraId="253DC123" w14:textId="77777777" w:rsidR="000850FC" w:rsidRDefault="000850FC" w:rsidP="000850FC">
      <w:pPr>
        <w:ind w:firstLine="708"/>
      </w:pPr>
      <w:r>
        <w:t>Finalmente</w:t>
      </w:r>
      <w:r w:rsidR="00271854">
        <w:t>,</w:t>
      </w:r>
      <w:r>
        <w:t xml:space="preserve"> se aplicó un análisis de correspondencias múltiples con el fin de observar el efecto de variables como el grado académico que estudian quienes brindaron sus percepciones</w:t>
      </w:r>
      <w:r w:rsidR="00271854">
        <w:t xml:space="preserve">, así como </w:t>
      </w:r>
      <w:r>
        <w:t>la institución a la que pertenecen en las competencias definidas para el estudio</w:t>
      </w:r>
      <w:r w:rsidR="00271854">
        <w:t>.</w:t>
      </w:r>
      <w:r>
        <w:t xml:space="preserve"> </w:t>
      </w:r>
      <w:r w:rsidR="00271854">
        <w:t>L</w:t>
      </w:r>
      <w:r>
        <w:t xml:space="preserve">os resultados del análisis pueden observarse en la </w:t>
      </w:r>
      <w:r w:rsidR="00271854">
        <w:t>f</w:t>
      </w:r>
      <w:r>
        <w:t>igura 1.</w:t>
      </w:r>
    </w:p>
    <w:p w14:paraId="3D3DC0FF" w14:textId="77777777" w:rsidR="00CF71FB" w:rsidRDefault="00CF71FB" w:rsidP="000850FC">
      <w:pPr>
        <w:rPr>
          <w:rFonts w:cs="Times New Roman"/>
        </w:rPr>
      </w:pPr>
    </w:p>
    <w:p w14:paraId="73F39D9E" w14:textId="77777777" w:rsidR="000850FC" w:rsidRDefault="000850FC" w:rsidP="000850FC">
      <w:pPr>
        <w:jc w:val="center"/>
      </w:pPr>
      <w:r w:rsidRPr="00271854">
        <w:rPr>
          <w:rFonts w:cs="Times New Roman"/>
          <w:b/>
        </w:rPr>
        <w:t>Figura 1.</w:t>
      </w:r>
      <w:r>
        <w:rPr>
          <w:rFonts w:cs="Times New Roman"/>
        </w:rPr>
        <w:t xml:space="preserve"> Análisis de correspondencias múltiples</w:t>
      </w:r>
    </w:p>
    <w:p w14:paraId="63F2AE35" w14:textId="77777777" w:rsidR="000850FC" w:rsidRDefault="000850FC" w:rsidP="002226F3">
      <w:pPr>
        <w:jc w:val="center"/>
        <w:rPr>
          <w:rFonts w:cs="Times New Roman"/>
        </w:rPr>
      </w:pPr>
      <w:r>
        <w:rPr>
          <w:noProof/>
          <w:lang w:val="es-VE" w:eastAsia="es-VE"/>
        </w:rPr>
        <w:drawing>
          <wp:inline distT="0" distB="0" distL="0" distR="0" wp14:anchorId="69B326BB" wp14:editId="18E1BBA3">
            <wp:extent cx="5209775" cy="2604887"/>
            <wp:effectExtent l="0" t="0" r="0" b="0"/>
            <wp:docPr id="1"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rotWithShape="1">
                    <a:blip r:embed="rId7" cstate="print">
                      <a:extLst>
                        <a:ext uri="{28A0092B-C50C-407E-A947-70E740481C1C}">
                          <a14:useLocalDpi xmlns:a14="http://schemas.microsoft.com/office/drawing/2010/main" val="0"/>
                        </a:ext>
                      </a:extLst>
                    </a:blip>
                    <a:srcRect t="4337" b="4811"/>
                    <a:stretch/>
                  </pic:blipFill>
                  <pic:spPr bwMode="auto">
                    <a:xfrm>
                      <a:off x="0" y="0"/>
                      <a:ext cx="5271152" cy="2635575"/>
                    </a:xfrm>
                    <a:prstGeom prst="rect">
                      <a:avLst/>
                    </a:prstGeom>
                    <a:noFill/>
                    <a:ln>
                      <a:noFill/>
                    </a:ln>
                    <a:extLst>
                      <a:ext uri="{53640926-AAD7-44D8-BBD7-CCE9431645EC}">
                        <a14:shadowObscured xmlns:a14="http://schemas.microsoft.com/office/drawing/2010/main"/>
                      </a:ext>
                    </a:extLst>
                  </pic:spPr>
                </pic:pic>
              </a:graphicData>
            </a:graphic>
          </wp:inline>
        </w:drawing>
      </w:r>
    </w:p>
    <w:p w14:paraId="7012122D" w14:textId="77777777" w:rsidR="000850FC" w:rsidRPr="00ED6DA0" w:rsidRDefault="000850FC" w:rsidP="000850FC">
      <w:pPr>
        <w:jc w:val="center"/>
      </w:pPr>
      <w:r w:rsidRPr="00ED6DA0">
        <w:t xml:space="preserve">Fuente: Elaboración propia </w:t>
      </w:r>
    </w:p>
    <w:p w14:paraId="1E646FF1" w14:textId="77777777" w:rsidR="000850FC" w:rsidRDefault="000850FC" w:rsidP="000850FC">
      <w:pPr>
        <w:ind w:firstLine="708"/>
      </w:pPr>
      <w:r>
        <w:t>Se observó</w:t>
      </w:r>
      <w:r w:rsidRPr="0062085F">
        <w:t xml:space="preserve"> que entre el primer eje (13.50</w:t>
      </w:r>
      <w:r>
        <w:t xml:space="preserve"> </w:t>
      </w:r>
      <w:r w:rsidRPr="0062085F">
        <w:t>%) y el segundo (8.61</w:t>
      </w:r>
      <w:r>
        <w:t xml:space="preserve"> </w:t>
      </w:r>
      <w:r w:rsidRPr="0062085F">
        <w:t>%) explican aproximadamente 22</w:t>
      </w:r>
      <w:r>
        <w:t xml:space="preserve"> </w:t>
      </w:r>
      <w:r w:rsidRPr="0062085F">
        <w:t xml:space="preserve">% de la variabilidad de </w:t>
      </w:r>
      <w:r>
        <w:t>los</w:t>
      </w:r>
      <w:r w:rsidRPr="0062085F">
        <w:t xml:space="preserve"> datos</w:t>
      </w:r>
      <w:r>
        <w:t xml:space="preserve">, </w:t>
      </w:r>
      <w:r w:rsidRPr="0062085F">
        <w:t xml:space="preserve">lo cual </w:t>
      </w:r>
      <w:r w:rsidR="00271854">
        <w:t>—</w:t>
      </w:r>
      <w:r>
        <w:t>al ser un valor bajo</w:t>
      </w:r>
      <w:r w:rsidR="00271854">
        <w:t>—</w:t>
      </w:r>
      <w:r>
        <w:t xml:space="preserve"> </w:t>
      </w:r>
      <w:r w:rsidRPr="0062085F">
        <w:t xml:space="preserve">indica poca dependencia de las frecuencias con respecto </w:t>
      </w:r>
      <w:r w:rsidR="00271854">
        <w:t>a</w:t>
      </w:r>
      <w:r w:rsidRPr="0062085F">
        <w:t xml:space="preserve"> las </w:t>
      </w:r>
      <w:r>
        <w:t>variables</w:t>
      </w:r>
      <w:r w:rsidRPr="0062085F">
        <w:t xml:space="preserve"> ensayadas (</w:t>
      </w:r>
      <w:r w:rsidRPr="00271854">
        <w:rPr>
          <w:i/>
        </w:rPr>
        <w:t>institución</w:t>
      </w:r>
      <w:r>
        <w:t xml:space="preserve"> y </w:t>
      </w:r>
      <w:r w:rsidRPr="00271854">
        <w:rPr>
          <w:i/>
        </w:rPr>
        <w:t>grado</w:t>
      </w:r>
      <w:r>
        <w:t xml:space="preserve">) y </w:t>
      </w:r>
      <w:r>
        <w:lastRenderedPageBreak/>
        <w:t xml:space="preserve">confirma también que </w:t>
      </w:r>
      <w:r w:rsidRPr="00536156">
        <w:t>la respuesta de los estudiantes es independiente de la institución y del grado</w:t>
      </w:r>
      <w:r>
        <w:t>; s</w:t>
      </w:r>
      <w:r w:rsidRPr="0062085F">
        <w:t>in embargo</w:t>
      </w:r>
      <w:r w:rsidR="00271854">
        <w:t>,</w:t>
      </w:r>
      <w:r w:rsidRPr="0062085F">
        <w:t xml:space="preserve"> el gráfico </w:t>
      </w:r>
      <w:r>
        <w:t>muestra dos aspectos</w:t>
      </w:r>
      <w:r w:rsidRPr="0062085F">
        <w:t xml:space="preserve"> interesantes</w:t>
      </w:r>
      <w:r>
        <w:t>:</w:t>
      </w:r>
    </w:p>
    <w:p w14:paraId="0E272F0C" w14:textId="77777777" w:rsidR="000850FC" w:rsidRPr="00536156" w:rsidRDefault="000850FC" w:rsidP="00271854">
      <w:pPr>
        <w:pStyle w:val="Prrafodelista"/>
        <w:numPr>
          <w:ilvl w:val="0"/>
          <w:numId w:val="3"/>
        </w:numPr>
        <w:ind w:left="993" w:hanging="284"/>
      </w:pPr>
      <w:r>
        <w:t>L</w:t>
      </w:r>
      <w:r w:rsidRPr="00536156">
        <w:t>as competencias pedagógica</w:t>
      </w:r>
      <w:r w:rsidR="00271854">
        <w:t>s</w:t>
      </w:r>
      <w:r w:rsidRPr="00536156">
        <w:t>, administrativa</w:t>
      </w:r>
      <w:r w:rsidR="00271854" w:rsidRPr="00271854">
        <w:t>s</w:t>
      </w:r>
      <w:r w:rsidR="00271854">
        <w:t xml:space="preserve"> y</w:t>
      </w:r>
      <w:r w:rsidRPr="00536156">
        <w:t xml:space="preserve"> tecnológica</w:t>
      </w:r>
      <w:r w:rsidR="00271854">
        <w:t>s</w:t>
      </w:r>
      <w:r w:rsidRPr="00536156">
        <w:t xml:space="preserve"> </w:t>
      </w:r>
      <w:r>
        <w:t xml:space="preserve">en mayor grado </w:t>
      </w:r>
      <w:r w:rsidR="00734AD7">
        <w:t>—</w:t>
      </w:r>
      <w:r>
        <w:t xml:space="preserve">y un </w:t>
      </w:r>
      <w:r w:rsidRPr="00536156">
        <w:t>poco</w:t>
      </w:r>
      <w:r>
        <w:t xml:space="preserve"> menos </w:t>
      </w:r>
      <w:r w:rsidRPr="00536156">
        <w:t>la</w:t>
      </w:r>
      <w:r w:rsidR="00271854">
        <w:t>s</w:t>
      </w:r>
      <w:r w:rsidRPr="00536156">
        <w:t xml:space="preserve"> social</w:t>
      </w:r>
      <w:r w:rsidR="00271854">
        <w:t>es</w:t>
      </w:r>
      <w:r w:rsidR="00734AD7">
        <w:t>—</w:t>
      </w:r>
      <w:r w:rsidRPr="00536156">
        <w:t xml:space="preserve"> se agrupan cerca del nivel de respuesta de 81</w:t>
      </w:r>
      <w:r w:rsidR="00734AD7">
        <w:t xml:space="preserve"> % </w:t>
      </w:r>
      <w:r w:rsidRPr="00536156">
        <w:t>-</w:t>
      </w:r>
      <w:r w:rsidR="00734AD7">
        <w:t xml:space="preserve"> </w:t>
      </w:r>
      <w:r w:rsidRPr="00536156">
        <w:t>100</w:t>
      </w:r>
      <w:r>
        <w:t xml:space="preserve"> </w:t>
      </w:r>
      <w:r w:rsidRPr="00536156">
        <w:t>%</w:t>
      </w:r>
      <w:r w:rsidR="00734AD7">
        <w:t>,</w:t>
      </w:r>
      <w:r w:rsidRPr="00536156">
        <w:t xml:space="preserve"> lo cual indica que la mayoría de los estudiantes consideran la educación </w:t>
      </w:r>
      <w:r>
        <w:t>en línea</w:t>
      </w:r>
      <w:r w:rsidRPr="00536156">
        <w:t xml:space="preserve"> como un servicio de calidad</w:t>
      </w:r>
      <w:r>
        <w:t xml:space="preserve"> donde la docencia tiene alto nivel de competencia.</w:t>
      </w:r>
    </w:p>
    <w:p w14:paraId="10448D98" w14:textId="77777777" w:rsidR="000850FC" w:rsidRDefault="000850FC" w:rsidP="00734AD7">
      <w:pPr>
        <w:pStyle w:val="Prrafodelista"/>
        <w:numPr>
          <w:ilvl w:val="0"/>
          <w:numId w:val="3"/>
        </w:numPr>
        <w:ind w:left="993" w:hanging="284"/>
      </w:pPr>
      <w:r w:rsidRPr="00536156">
        <w:t>La competencia de evaluación es la única que se agrupó cerca del nivel de 61</w:t>
      </w:r>
      <w:r w:rsidR="00734AD7">
        <w:t xml:space="preserve"> % </w:t>
      </w:r>
      <w:r w:rsidRPr="00536156">
        <w:t>-</w:t>
      </w:r>
      <w:r w:rsidR="00734AD7">
        <w:t xml:space="preserve"> </w:t>
      </w:r>
      <w:r w:rsidRPr="00536156">
        <w:t>80</w:t>
      </w:r>
      <w:r w:rsidR="00734AD7">
        <w:t> </w:t>
      </w:r>
      <w:r w:rsidRPr="00536156">
        <w:t>%</w:t>
      </w:r>
      <w:r w:rsidR="00734AD7">
        <w:t>,</w:t>
      </w:r>
      <w:r w:rsidRPr="00536156">
        <w:t xml:space="preserve"> lo que indica que es la competencia calificada por los estudiantes </w:t>
      </w:r>
      <w:r>
        <w:t>con menor ponderación</w:t>
      </w:r>
      <w:r w:rsidR="00734AD7">
        <w:t xml:space="preserve">. Esto </w:t>
      </w:r>
      <w:r>
        <w:t>confirma el análisis de correlación e identifica a esta competencia como un factor crítico de atención en los programas en línea.</w:t>
      </w:r>
    </w:p>
    <w:p w14:paraId="30F8B678" w14:textId="38F43743" w:rsidR="000850FC" w:rsidRDefault="00734AD7" w:rsidP="000850FC">
      <w:pPr>
        <w:ind w:firstLine="708"/>
      </w:pPr>
      <w:r>
        <w:t>Para</w:t>
      </w:r>
      <w:r w:rsidR="000850FC">
        <w:t xml:space="preserve"> validar estadísticamente los resultados observados en el análisis de correspondencias, se realizó una prueba de frecuencias observadas contra frecuencias esperadas, tomado en un eje dos niveles de competencia: alto para los valores ponderados de cuatro y cinco</w:t>
      </w:r>
      <w:r>
        <w:t>,</w:t>
      </w:r>
      <w:r w:rsidR="000850FC">
        <w:t xml:space="preserve"> y bajo para los niveles ponderados de uno, dos y tres</w:t>
      </w:r>
      <w:r>
        <w:t>,</w:t>
      </w:r>
      <w:r w:rsidR="000850FC">
        <w:t xml:space="preserve"> y en el otro eje las cinco competencias de estudio. Los resultados fueron un valor de Chi2 de 31,172.78 con cuatro grados de libertad y un valor de p</w:t>
      </w:r>
      <w:r>
        <w:t> </w:t>
      </w:r>
      <w:r w:rsidR="000850FC">
        <w:t>=</w:t>
      </w:r>
      <w:r>
        <w:t> </w:t>
      </w:r>
      <w:r w:rsidR="000850FC">
        <w:t xml:space="preserve">.000, lo </w:t>
      </w:r>
      <w:r>
        <w:t>que</w:t>
      </w:r>
      <w:r w:rsidR="000850FC">
        <w:t xml:space="preserve"> indica que existe una marcada tendencia a las ponderaciones altas y que existe un alto nivel de confiabilidad en las diferencias observadas.</w:t>
      </w:r>
    </w:p>
    <w:p w14:paraId="0BF8CA81" w14:textId="77777777" w:rsidR="00727258" w:rsidRDefault="00727258" w:rsidP="000850FC">
      <w:pPr>
        <w:ind w:firstLine="708"/>
      </w:pPr>
    </w:p>
    <w:p w14:paraId="61BF5B96" w14:textId="77777777" w:rsidR="000850FC" w:rsidRPr="0029590A" w:rsidRDefault="000850FC" w:rsidP="000850FC">
      <w:pPr>
        <w:jc w:val="center"/>
        <w:rPr>
          <w:rFonts w:cs="Times New Roman"/>
          <w:b/>
          <w:sz w:val="32"/>
          <w:szCs w:val="32"/>
          <w:lang w:val="es-ES"/>
        </w:rPr>
      </w:pPr>
      <w:r w:rsidRPr="0029590A">
        <w:rPr>
          <w:rFonts w:cs="Times New Roman"/>
          <w:b/>
          <w:sz w:val="32"/>
          <w:szCs w:val="32"/>
          <w:lang w:val="es-ES"/>
        </w:rPr>
        <w:t>Discusión</w:t>
      </w:r>
      <w:r w:rsidR="00734AD7">
        <w:rPr>
          <w:rFonts w:cs="Times New Roman"/>
          <w:b/>
          <w:sz w:val="32"/>
          <w:szCs w:val="32"/>
          <w:lang w:val="es-ES"/>
        </w:rPr>
        <w:t xml:space="preserve"> </w:t>
      </w:r>
    </w:p>
    <w:p w14:paraId="05296595" w14:textId="77777777" w:rsidR="00734AD7" w:rsidRDefault="000850FC" w:rsidP="00734AD7">
      <w:pPr>
        <w:ind w:firstLine="708"/>
        <w:rPr>
          <w:rFonts w:cs="Times New Roman"/>
          <w:lang w:val="es-ES"/>
        </w:rPr>
      </w:pPr>
      <w:r>
        <w:rPr>
          <w:rFonts w:cs="Times New Roman"/>
          <w:lang w:val="es-ES"/>
        </w:rPr>
        <w:t>Los resultados obtenid</w:t>
      </w:r>
      <w:r w:rsidR="00734AD7">
        <w:rPr>
          <w:rFonts w:cs="Times New Roman"/>
          <w:lang w:val="es-ES"/>
        </w:rPr>
        <w:t>os</w:t>
      </w:r>
      <w:r>
        <w:rPr>
          <w:rFonts w:cs="Times New Roman"/>
          <w:lang w:val="es-ES"/>
        </w:rPr>
        <w:t xml:space="preserve"> de las tres fuentes de información ofrecen un panorama claro de cómo operaba la docencia en línea en universidades públicas </w:t>
      </w:r>
      <w:r w:rsidR="00734AD7">
        <w:rPr>
          <w:rFonts w:cs="Times New Roman"/>
          <w:lang w:val="es-ES"/>
        </w:rPr>
        <w:t>cuando esta investigación se desarrolló</w:t>
      </w:r>
      <w:r>
        <w:rPr>
          <w:rFonts w:cs="Times New Roman"/>
          <w:lang w:val="es-ES"/>
        </w:rPr>
        <w:t>. En primer lugar</w:t>
      </w:r>
      <w:r w:rsidR="00734AD7">
        <w:rPr>
          <w:rFonts w:cs="Times New Roman"/>
          <w:lang w:val="es-ES"/>
        </w:rPr>
        <w:t>,</w:t>
      </w:r>
      <w:r>
        <w:rPr>
          <w:rFonts w:cs="Times New Roman"/>
          <w:lang w:val="es-ES"/>
        </w:rPr>
        <w:t xml:space="preserve"> los modelos educativos de las seis universidades tienen un enfoque que permite la incorporación de educación en línea, pues se consideran centrados en el estudiante</w:t>
      </w:r>
      <w:r w:rsidR="00734AD7">
        <w:rPr>
          <w:rFonts w:cs="Times New Roman"/>
          <w:lang w:val="es-ES"/>
        </w:rPr>
        <w:t>,</w:t>
      </w:r>
      <w:r>
        <w:rPr>
          <w:rFonts w:cs="Times New Roman"/>
          <w:lang w:val="es-ES"/>
        </w:rPr>
        <w:t xml:space="preserve"> con enfoque humanista y una marcada tendencia al uso de las TIC</w:t>
      </w:r>
      <w:r w:rsidR="00734AD7">
        <w:rPr>
          <w:rFonts w:cs="Times New Roman"/>
          <w:lang w:val="es-ES"/>
        </w:rPr>
        <w:t>.</w:t>
      </w:r>
      <w:r>
        <w:rPr>
          <w:rFonts w:cs="Times New Roman"/>
          <w:lang w:val="es-ES"/>
        </w:rPr>
        <w:t xml:space="preserve"> </w:t>
      </w:r>
      <w:r w:rsidR="00734AD7">
        <w:rPr>
          <w:rFonts w:cs="Times New Roman"/>
          <w:lang w:val="es-ES"/>
        </w:rPr>
        <w:t>T</w:t>
      </w:r>
      <w:r>
        <w:rPr>
          <w:rFonts w:cs="Times New Roman"/>
          <w:lang w:val="es-ES"/>
        </w:rPr>
        <w:t xml:space="preserve">odas cuentan con al menos un departamento dedicado a la producción de recursos educativos para educación en línea, lo que </w:t>
      </w:r>
      <w:r w:rsidR="00734AD7">
        <w:rPr>
          <w:rFonts w:cs="Times New Roman"/>
          <w:lang w:val="es-ES"/>
        </w:rPr>
        <w:t>demuestra</w:t>
      </w:r>
      <w:r>
        <w:rPr>
          <w:rFonts w:cs="Times New Roman"/>
          <w:lang w:val="es-ES"/>
        </w:rPr>
        <w:t xml:space="preserve"> un nivel </w:t>
      </w:r>
      <w:r w:rsidR="00734AD7">
        <w:rPr>
          <w:rFonts w:cs="Times New Roman"/>
          <w:lang w:val="es-ES"/>
        </w:rPr>
        <w:t xml:space="preserve">entre </w:t>
      </w:r>
      <w:r>
        <w:rPr>
          <w:rFonts w:cs="Times New Roman"/>
          <w:lang w:val="es-ES"/>
        </w:rPr>
        <w:t xml:space="preserve">intermedio </w:t>
      </w:r>
      <w:r w:rsidR="00734AD7">
        <w:rPr>
          <w:rFonts w:cs="Times New Roman"/>
          <w:lang w:val="es-ES"/>
        </w:rPr>
        <w:t>y</w:t>
      </w:r>
      <w:r>
        <w:rPr>
          <w:rFonts w:cs="Times New Roman"/>
          <w:lang w:val="es-ES"/>
        </w:rPr>
        <w:t xml:space="preserve"> alto de preparación de la institución para ofrecer educación en línea</w:t>
      </w:r>
      <w:r w:rsidR="00734AD7">
        <w:rPr>
          <w:rFonts w:cs="Times New Roman"/>
          <w:lang w:val="es-ES"/>
        </w:rPr>
        <w:t xml:space="preserve">. Además, </w:t>
      </w:r>
      <w:r>
        <w:rPr>
          <w:rFonts w:cs="Times New Roman"/>
          <w:lang w:val="es-ES"/>
        </w:rPr>
        <w:t xml:space="preserve">han </w:t>
      </w:r>
      <w:r w:rsidR="00734AD7">
        <w:rPr>
          <w:rFonts w:cs="Times New Roman"/>
          <w:lang w:val="es-ES"/>
        </w:rPr>
        <w:t>invertido recursos para</w:t>
      </w:r>
      <w:r>
        <w:rPr>
          <w:rFonts w:cs="Times New Roman"/>
          <w:lang w:val="es-ES"/>
        </w:rPr>
        <w:t xml:space="preserve"> ofrecer al menos un programa en esta modalidad. </w:t>
      </w:r>
    </w:p>
    <w:p w14:paraId="202AC1AC" w14:textId="77777777" w:rsidR="000850FC" w:rsidRDefault="000850FC" w:rsidP="00734AD7">
      <w:pPr>
        <w:ind w:firstLine="708"/>
        <w:rPr>
          <w:rFonts w:cs="Times New Roman"/>
          <w:lang w:val="es-ES"/>
        </w:rPr>
      </w:pPr>
      <w:r>
        <w:rPr>
          <w:rFonts w:cs="Times New Roman"/>
          <w:lang w:val="es-ES"/>
        </w:rPr>
        <w:t xml:space="preserve">Por otra parte, </w:t>
      </w:r>
      <w:r w:rsidR="00734AD7">
        <w:rPr>
          <w:rFonts w:cs="Times New Roman"/>
          <w:lang w:val="es-ES"/>
        </w:rPr>
        <w:t>brindan</w:t>
      </w:r>
      <w:r>
        <w:rPr>
          <w:rFonts w:cs="Times New Roman"/>
          <w:lang w:val="es-ES"/>
        </w:rPr>
        <w:t xml:space="preserve"> capacitación para los docentes que incursionan en esta modalidad, pero se centran en aspectos tecnológicos, pedagógicos e incluso sociales, </w:t>
      </w:r>
      <w:r w:rsidR="00734AD7">
        <w:rPr>
          <w:rFonts w:cs="Times New Roman"/>
          <w:lang w:val="es-ES"/>
        </w:rPr>
        <w:t>por lo que</w:t>
      </w:r>
      <w:r>
        <w:rPr>
          <w:rFonts w:cs="Times New Roman"/>
          <w:lang w:val="es-ES"/>
        </w:rPr>
        <w:t xml:space="preserve"> hay poca capacitación en </w:t>
      </w:r>
      <w:r w:rsidR="00734AD7">
        <w:rPr>
          <w:rFonts w:cs="Times New Roman"/>
          <w:lang w:val="es-ES"/>
        </w:rPr>
        <w:t>elementos</w:t>
      </w:r>
      <w:r>
        <w:rPr>
          <w:rFonts w:cs="Times New Roman"/>
          <w:lang w:val="es-ES"/>
        </w:rPr>
        <w:t xml:space="preserve"> evaluativos y administrativos</w:t>
      </w:r>
      <w:r w:rsidR="00734AD7">
        <w:rPr>
          <w:rFonts w:cs="Times New Roman"/>
          <w:lang w:val="es-ES"/>
        </w:rPr>
        <w:t>.</w:t>
      </w:r>
      <w:r>
        <w:rPr>
          <w:rFonts w:cs="Times New Roman"/>
          <w:lang w:val="es-ES"/>
        </w:rPr>
        <w:t xml:space="preserve"> </w:t>
      </w:r>
      <w:r w:rsidR="00734AD7">
        <w:rPr>
          <w:rFonts w:cs="Times New Roman"/>
          <w:lang w:val="es-ES"/>
        </w:rPr>
        <w:t>E</w:t>
      </w:r>
      <w:r>
        <w:rPr>
          <w:rFonts w:cs="Times New Roman"/>
          <w:lang w:val="es-ES"/>
        </w:rPr>
        <w:t xml:space="preserve">sto puede representar un área de debilidad, </w:t>
      </w:r>
      <w:r w:rsidR="00734AD7">
        <w:rPr>
          <w:rFonts w:cs="Times New Roman"/>
          <w:lang w:val="es-ES"/>
        </w:rPr>
        <w:t xml:space="preserve">ya que si el docente tiene deficiencias </w:t>
      </w:r>
      <w:r>
        <w:rPr>
          <w:rFonts w:cs="Times New Roman"/>
          <w:lang w:val="es-ES"/>
        </w:rPr>
        <w:t xml:space="preserve">en estas </w:t>
      </w:r>
      <w:r w:rsidR="00734AD7">
        <w:rPr>
          <w:rFonts w:cs="Times New Roman"/>
          <w:lang w:val="es-ES"/>
        </w:rPr>
        <w:t>áreas, el alumno podría desanimarse</w:t>
      </w:r>
      <w:r>
        <w:rPr>
          <w:rFonts w:cs="Times New Roman"/>
          <w:lang w:val="es-ES"/>
        </w:rPr>
        <w:t xml:space="preserve"> </w:t>
      </w:r>
      <w:r w:rsidR="00734AD7">
        <w:rPr>
          <w:rFonts w:cs="Times New Roman"/>
          <w:lang w:val="es-ES"/>
        </w:rPr>
        <w:t xml:space="preserve">e inclusive abandonar no solo el </w:t>
      </w:r>
      <w:r>
        <w:rPr>
          <w:rFonts w:cs="Times New Roman"/>
          <w:lang w:val="es-ES"/>
        </w:rPr>
        <w:t>curso</w:t>
      </w:r>
      <w:r w:rsidR="00734AD7">
        <w:rPr>
          <w:rFonts w:cs="Times New Roman"/>
          <w:lang w:val="es-ES"/>
        </w:rPr>
        <w:t xml:space="preserve">, sino también </w:t>
      </w:r>
      <w:r>
        <w:rPr>
          <w:rFonts w:cs="Times New Roman"/>
          <w:lang w:val="es-ES"/>
        </w:rPr>
        <w:t>el programa.</w:t>
      </w:r>
    </w:p>
    <w:p w14:paraId="2354B456" w14:textId="3AD235F5" w:rsidR="002C01C1" w:rsidRDefault="000850FC" w:rsidP="000850FC">
      <w:pPr>
        <w:rPr>
          <w:rFonts w:cs="Times New Roman"/>
          <w:lang w:val="es-ES"/>
        </w:rPr>
      </w:pPr>
      <w:r>
        <w:rPr>
          <w:rFonts w:cs="Times New Roman"/>
          <w:lang w:val="es-ES"/>
        </w:rPr>
        <w:lastRenderedPageBreak/>
        <w:tab/>
        <w:t xml:space="preserve">Centrar la investigación en seis universidades públicas del país </w:t>
      </w:r>
      <w:r w:rsidR="002C01C1">
        <w:rPr>
          <w:rFonts w:cs="Times New Roman"/>
          <w:lang w:val="es-ES"/>
        </w:rPr>
        <w:t>(</w:t>
      </w:r>
      <w:r>
        <w:rPr>
          <w:rFonts w:cs="Times New Roman"/>
          <w:lang w:val="es-ES"/>
        </w:rPr>
        <w:t>líderes en el centro, norte, bajío y sureste</w:t>
      </w:r>
      <w:r w:rsidR="002C01C1">
        <w:rPr>
          <w:rFonts w:cs="Times New Roman"/>
          <w:lang w:val="es-ES"/>
        </w:rPr>
        <w:t>)</w:t>
      </w:r>
      <w:r>
        <w:rPr>
          <w:rFonts w:cs="Times New Roman"/>
          <w:lang w:val="es-ES"/>
        </w:rPr>
        <w:t xml:space="preserve"> ofreció un </w:t>
      </w:r>
      <w:r w:rsidR="002C01C1">
        <w:rPr>
          <w:rFonts w:cs="Times New Roman"/>
          <w:lang w:val="es-ES"/>
        </w:rPr>
        <w:t>panorama</w:t>
      </w:r>
      <w:r>
        <w:rPr>
          <w:rFonts w:cs="Times New Roman"/>
          <w:lang w:val="es-ES"/>
        </w:rPr>
        <w:t xml:space="preserve"> más ampli</w:t>
      </w:r>
      <w:r w:rsidR="002C01C1">
        <w:rPr>
          <w:rFonts w:cs="Times New Roman"/>
          <w:lang w:val="es-ES"/>
        </w:rPr>
        <w:t>o</w:t>
      </w:r>
      <w:r>
        <w:rPr>
          <w:rFonts w:cs="Times New Roman"/>
          <w:lang w:val="es-ES"/>
        </w:rPr>
        <w:t xml:space="preserve"> </w:t>
      </w:r>
      <w:r w:rsidR="002C01C1">
        <w:rPr>
          <w:rFonts w:cs="Times New Roman"/>
          <w:lang w:val="es-ES"/>
        </w:rPr>
        <w:t>de</w:t>
      </w:r>
      <w:r>
        <w:rPr>
          <w:rFonts w:cs="Times New Roman"/>
          <w:lang w:val="es-ES"/>
        </w:rPr>
        <w:t xml:space="preserve"> la percepción de los estudiantes sobre las competencias de sus docentes. </w:t>
      </w:r>
      <w:r w:rsidR="002C01C1">
        <w:rPr>
          <w:rFonts w:cs="Times New Roman"/>
          <w:lang w:val="es-ES"/>
        </w:rPr>
        <w:t>Por ejemplo, s</w:t>
      </w:r>
      <w:r>
        <w:rPr>
          <w:rFonts w:cs="Times New Roman"/>
          <w:lang w:val="es-ES"/>
        </w:rPr>
        <w:t xml:space="preserve">e pudo observar que los estudiantes ponderan a sus </w:t>
      </w:r>
      <w:r w:rsidR="002C01C1">
        <w:rPr>
          <w:rFonts w:cs="Times New Roman"/>
          <w:lang w:val="es-ES"/>
        </w:rPr>
        <w:t>profesores</w:t>
      </w:r>
      <w:r>
        <w:rPr>
          <w:rFonts w:cs="Times New Roman"/>
          <w:lang w:val="es-ES"/>
        </w:rPr>
        <w:t xml:space="preserve"> como altamente competentes, lo cual refleja que la educación en línea es considerada una alternativa de calidad para acceder a una mejor formación académica</w:t>
      </w:r>
      <w:r w:rsidR="002C01C1">
        <w:rPr>
          <w:rFonts w:cs="Times New Roman"/>
          <w:lang w:val="es-ES"/>
        </w:rPr>
        <w:t>.</w:t>
      </w:r>
      <w:r>
        <w:rPr>
          <w:rFonts w:cs="Times New Roman"/>
          <w:lang w:val="es-ES"/>
        </w:rPr>
        <w:t xml:space="preserve"> </w:t>
      </w:r>
      <w:r w:rsidR="002C01C1">
        <w:rPr>
          <w:rFonts w:cs="Times New Roman"/>
          <w:lang w:val="es-ES"/>
        </w:rPr>
        <w:t xml:space="preserve">Esto resulta coherente </w:t>
      </w:r>
      <w:r>
        <w:rPr>
          <w:rFonts w:cs="Times New Roman"/>
          <w:lang w:val="es-ES"/>
        </w:rPr>
        <w:t xml:space="preserve">con lo que reporta la OECD </w:t>
      </w:r>
      <w:r>
        <w:rPr>
          <w:rFonts w:cs="Times New Roman"/>
          <w:lang w:val="es-ES"/>
        </w:rPr>
        <w:fldChar w:fldCharType="begin"/>
      </w:r>
      <w:r>
        <w:rPr>
          <w:rFonts w:cs="Times New Roman"/>
          <w:lang w:val="es-ES"/>
        </w:rPr>
        <w:instrText xml:space="preserve"> ADDIN ZOTERO_ITEM CSL_CITATION {"citationID":"LvQE0reW","properties":{"formattedCitation":"(OECD, 2019)","plainCitation":"(OECD, 2019)","noteIndex":0},"citationItems":[{"id":4,"uris":["http://zotero.org/users/local/tvKJQPKe/items/JNAZQLUM"],"uri":["http://zotero.org/users/local/tvKJQPKe/items/JNAZQLUM"],"itemData":{"id":4,"type":"book","event-place":"Paris","ISBN":"978-92-64-93667-6","language":"es","note":"DOI: 10.1787/a93ed2b7-es","number-of-pages":"235","publisher":"OECD Publishing","publisher-place":"Paris","source":"Crossref","title":"Educación superior en México: Resultados y relevancia para el mercado laboral","title-short":"Educación superior en México","URL":"https://doi.org/10.1787/a93ed2b7-es","author":[{"literal":"OECD"}],"accessed":{"date-parts":[["2020",3,24]]},"issued":{"date-parts":[["2019"]]}}}],"schema":"https://github.com/citation-style-language/schema/raw/master/csl-citation.json"} </w:instrText>
      </w:r>
      <w:r>
        <w:rPr>
          <w:rFonts w:cs="Times New Roman"/>
          <w:lang w:val="es-ES"/>
        </w:rPr>
        <w:fldChar w:fldCharType="separate"/>
      </w:r>
      <w:r>
        <w:rPr>
          <w:rFonts w:cs="Times New Roman"/>
          <w:noProof/>
          <w:lang w:val="es-ES"/>
        </w:rPr>
        <w:t>(2019)</w:t>
      </w:r>
      <w:r>
        <w:rPr>
          <w:rFonts w:cs="Times New Roman"/>
          <w:lang w:val="es-ES"/>
        </w:rPr>
        <w:fldChar w:fldCharType="end"/>
      </w:r>
      <w:r>
        <w:rPr>
          <w:rFonts w:cs="Times New Roman"/>
          <w:lang w:val="es-ES"/>
        </w:rPr>
        <w:t xml:space="preserve"> </w:t>
      </w:r>
      <w:r w:rsidR="002C01C1">
        <w:rPr>
          <w:rFonts w:cs="Times New Roman"/>
          <w:lang w:val="es-ES"/>
        </w:rPr>
        <w:t xml:space="preserve">cuando indica </w:t>
      </w:r>
      <w:r>
        <w:rPr>
          <w:rFonts w:cs="Times New Roman"/>
          <w:lang w:val="es-ES"/>
        </w:rPr>
        <w:t>que en el periodo de 2017 a 2019 se registraron 600</w:t>
      </w:r>
      <w:r w:rsidR="002C01C1">
        <w:rPr>
          <w:rFonts w:cs="Times New Roman"/>
          <w:lang w:val="es-ES"/>
        </w:rPr>
        <w:t> </w:t>
      </w:r>
      <w:r>
        <w:rPr>
          <w:rFonts w:cs="Times New Roman"/>
          <w:lang w:val="es-ES"/>
        </w:rPr>
        <w:t xml:space="preserve">000 estudiantes en programas educativos en línea de los 4.4 millones </w:t>
      </w:r>
      <w:r w:rsidR="00E166A6">
        <w:rPr>
          <w:rFonts w:cs="Times New Roman"/>
          <w:lang w:val="es-ES"/>
        </w:rPr>
        <w:t>que cursaban</w:t>
      </w:r>
      <w:r>
        <w:rPr>
          <w:rFonts w:cs="Times New Roman"/>
          <w:lang w:val="es-ES"/>
        </w:rPr>
        <w:t xml:space="preserve"> </w:t>
      </w:r>
      <w:r w:rsidR="00E166A6">
        <w:rPr>
          <w:rFonts w:cs="Times New Roman"/>
          <w:lang w:val="es-ES"/>
        </w:rPr>
        <w:t xml:space="preserve">la </w:t>
      </w:r>
      <w:r>
        <w:rPr>
          <w:rFonts w:cs="Times New Roman"/>
          <w:lang w:val="es-ES"/>
        </w:rPr>
        <w:t xml:space="preserve">educación superior. </w:t>
      </w:r>
    </w:p>
    <w:p w14:paraId="0396FA59" w14:textId="77777777" w:rsidR="000850FC" w:rsidRDefault="000850FC" w:rsidP="002C01C1">
      <w:pPr>
        <w:ind w:firstLine="708"/>
        <w:rPr>
          <w:rFonts w:cs="Times New Roman"/>
          <w:lang w:val="es-ES"/>
        </w:rPr>
      </w:pPr>
      <w:r>
        <w:rPr>
          <w:rFonts w:cs="Times New Roman"/>
          <w:lang w:val="es-ES"/>
        </w:rPr>
        <w:t>En esta situación, el modelo teórico propuesto ayudó a reconocer las competencias que</w:t>
      </w:r>
      <w:r w:rsidR="002C01C1">
        <w:rPr>
          <w:rFonts w:cs="Times New Roman"/>
          <w:lang w:val="es-ES"/>
        </w:rPr>
        <w:t>, idealmente,</w:t>
      </w:r>
      <w:r>
        <w:rPr>
          <w:rFonts w:cs="Times New Roman"/>
          <w:lang w:val="es-ES"/>
        </w:rPr>
        <w:t xml:space="preserve"> el docente debe</w:t>
      </w:r>
      <w:r w:rsidR="002C01C1">
        <w:rPr>
          <w:rFonts w:cs="Times New Roman"/>
          <w:lang w:val="es-ES"/>
        </w:rPr>
        <w:t>ría</w:t>
      </w:r>
      <w:r>
        <w:rPr>
          <w:rFonts w:cs="Times New Roman"/>
          <w:lang w:val="es-ES"/>
        </w:rPr>
        <w:t xml:space="preserve"> desarrollar, sin </w:t>
      </w:r>
      <w:r w:rsidR="008864FC">
        <w:rPr>
          <w:rFonts w:cs="Times New Roman"/>
          <w:lang w:val="es-ES"/>
        </w:rPr>
        <w:t xml:space="preserve">importar </w:t>
      </w:r>
      <w:r>
        <w:rPr>
          <w:rFonts w:cs="Times New Roman"/>
          <w:lang w:val="es-ES"/>
        </w:rPr>
        <w:t xml:space="preserve">la institución de adscripción del estudiante, el nivel académico que cursó o incluso la experiencia previa que tuviera como facilitador. </w:t>
      </w:r>
      <w:r w:rsidR="008864FC">
        <w:rPr>
          <w:rFonts w:cs="Times New Roman"/>
          <w:lang w:val="es-ES"/>
        </w:rPr>
        <w:t xml:space="preserve">Al respecto, vale subrayar que </w:t>
      </w:r>
      <w:r>
        <w:rPr>
          <w:rFonts w:cs="Times New Roman"/>
          <w:lang w:val="es-ES"/>
        </w:rPr>
        <w:t>es</w:t>
      </w:r>
      <w:r w:rsidR="008864FC">
        <w:rPr>
          <w:rFonts w:cs="Times New Roman"/>
          <w:lang w:val="es-ES"/>
        </w:rPr>
        <w:t>t</w:t>
      </w:r>
      <w:r>
        <w:rPr>
          <w:rFonts w:cs="Times New Roman"/>
          <w:lang w:val="es-ES"/>
        </w:rPr>
        <w:t xml:space="preserve">as variables </w:t>
      </w:r>
      <w:r w:rsidR="008864FC">
        <w:rPr>
          <w:rFonts w:cs="Times New Roman"/>
          <w:lang w:val="es-ES"/>
        </w:rPr>
        <w:t xml:space="preserve">se consideraron como importantes </w:t>
      </w:r>
      <w:r>
        <w:rPr>
          <w:rFonts w:cs="Times New Roman"/>
          <w:lang w:val="es-ES"/>
        </w:rPr>
        <w:t xml:space="preserve">porque </w:t>
      </w:r>
      <w:r w:rsidR="008864FC">
        <w:rPr>
          <w:rFonts w:cs="Times New Roman"/>
          <w:lang w:val="es-ES"/>
        </w:rPr>
        <w:t xml:space="preserve">se previó </w:t>
      </w:r>
      <w:r>
        <w:rPr>
          <w:rFonts w:cs="Times New Roman"/>
          <w:lang w:val="es-ES"/>
        </w:rPr>
        <w:t xml:space="preserve">que un programa educativo de una universidad como la UNAM </w:t>
      </w:r>
      <w:r w:rsidR="008864FC">
        <w:rPr>
          <w:rFonts w:cs="Times New Roman"/>
          <w:lang w:val="es-ES"/>
        </w:rPr>
        <w:t>(</w:t>
      </w:r>
      <w:r>
        <w:rPr>
          <w:rFonts w:cs="Times New Roman"/>
          <w:lang w:val="es-ES"/>
        </w:rPr>
        <w:t xml:space="preserve">la </w:t>
      </w:r>
      <w:r w:rsidR="008864FC">
        <w:rPr>
          <w:rFonts w:cs="Times New Roman"/>
          <w:lang w:val="es-ES"/>
        </w:rPr>
        <w:t>más</w:t>
      </w:r>
      <w:r>
        <w:rPr>
          <w:rFonts w:cs="Times New Roman"/>
          <w:lang w:val="es-ES"/>
        </w:rPr>
        <w:t xml:space="preserve"> grande y con más presupuesto de México</w:t>
      </w:r>
      <w:r w:rsidR="008864FC">
        <w:rPr>
          <w:rFonts w:cs="Times New Roman"/>
          <w:lang w:val="es-ES"/>
        </w:rPr>
        <w:t>)</w:t>
      </w:r>
      <w:r>
        <w:rPr>
          <w:rFonts w:cs="Times New Roman"/>
          <w:lang w:val="es-ES"/>
        </w:rPr>
        <w:t xml:space="preserve"> podría ser </w:t>
      </w:r>
      <w:r w:rsidR="008864FC">
        <w:rPr>
          <w:rFonts w:cs="Times New Roman"/>
          <w:lang w:val="es-ES"/>
        </w:rPr>
        <w:t>valorado</w:t>
      </w:r>
      <w:r>
        <w:rPr>
          <w:rFonts w:cs="Times New Roman"/>
          <w:lang w:val="es-ES"/>
        </w:rPr>
        <w:t xml:space="preserve"> </w:t>
      </w:r>
      <w:r w:rsidR="008864FC">
        <w:rPr>
          <w:rFonts w:cs="Times New Roman"/>
          <w:lang w:val="es-ES"/>
        </w:rPr>
        <w:t>con</w:t>
      </w:r>
      <w:r>
        <w:rPr>
          <w:rFonts w:cs="Times New Roman"/>
          <w:lang w:val="es-ES"/>
        </w:rPr>
        <w:t xml:space="preserve"> mejor calidad que los de otras universidades públicas más pequeñas</w:t>
      </w:r>
      <w:r w:rsidR="008864FC">
        <w:rPr>
          <w:rFonts w:cs="Times New Roman"/>
          <w:lang w:val="es-ES"/>
        </w:rPr>
        <w:t xml:space="preserve">. </w:t>
      </w:r>
      <w:r w:rsidR="00731D24">
        <w:rPr>
          <w:rFonts w:cs="Times New Roman"/>
          <w:lang w:val="es-ES"/>
        </w:rPr>
        <w:t>De ese mismo modo</w:t>
      </w:r>
      <w:r w:rsidR="008864FC">
        <w:rPr>
          <w:rFonts w:cs="Times New Roman"/>
          <w:lang w:val="es-ES"/>
        </w:rPr>
        <w:t>,</w:t>
      </w:r>
      <w:r>
        <w:rPr>
          <w:rFonts w:cs="Times New Roman"/>
          <w:lang w:val="es-ES"/>
        </w:rPr>
        <w:t xml:space="preserve"> </w:t>
      </w:r>
      <w:r w:rsidR="008864FC">
        <w:rPr>
          <w:rFonts w:cs="Times New Roman"/>
          <w:lang w:val="es-ES"/>
        </w:rPr>
        <w:t xml:space="preserve">se advirtió </w:t>
      </w:r>
      <w:r>
        <w:rPr>
          <w:rFonts w:cs="Times New Roman"/>
          <w:lang w:val="es-ES"/>
        </w:rPr>
        <w:t xml:space="preserve">que el nivel académico </w:t>
      </w:r>
      <w:r w:rsidR="00731D24">
        <w:rPr>
          <w:rFonts w:cs="Times New Roman"/>
          <w:lang w:val="es-ES"/>
        </w:rPr>
        <w:t>podría</w:t>
      </w:r>
      <w:r>
        <w:rPr>
          <w:rFonts w:cs="Times New Roman"/>
          <w:lang w:val="es-ES"/>
        </w:rPr>
        <w:t xml:space="preserve"> influir</w:t>
      </w:r>
      <w:r w:rsidR="008864FC">
        <w:rPr>
          <w:rFonts w:cs="Times New Roman"/>
          <w:lang w:val="es-ES"/>
        </w:rPr>
        <w:t xml:space="preserve"> en los resultados,</w:t>
      </w:r>
      <w:r>
        <w:rPr>
          <w:rFonts w:cs="Times New Roman"/>
          <w:lang w:val="es-ES"/>
        </w:rPr>
        <w:t xml:space="preserve"> pues una persona que realiza estudios de doctorado </w:t>
      </w:r>
      <w:r w:rsidR="008864FC">
        <w:rPr>
          <w:rFonts w:cs="Times New Roman"/>
          <w:lang w:val="es-ES"/>
        </w:rPr>
        <w:t>tendría</w:t>
      </w:r>
      <w:r>
        <w:rPr>
          <w:rFonts w:cs="Times New Roman"/>
          <w:lang w:val="es-ES"/>
        </w:rPr>
        <w:t xml:space="preserve"> una trayectoria académica </w:t>
      </w:r>
      <w:r w:rsidR="00731D24">
        <w:rPr>
          <w:rFonts w:cs="Times New Roman"/>
          <w:lang w:val="es-ES"/>
        </w:rPr>
        <w:t xml:space="preserve">más dilatada </w:t>
      </w:r>
      <w:r>
        <w:rPr>
          <w:rFonts w:cs="Times New Roman"/>
          <w:lang w:val="es-ES"/>
        </w:rPr>
        <w:t>que l</w:t>
      </w:r>
      <w:r w:rsidR="00731D24">
        <w:rPr>
          <w:rFonts w:cs="Times New Roman"/>
          <w:lang w:val="es-ES"/>
        </w:rPr>
        <w:t>a</w:t>
      </w:r>
      <w:r>
        <w:rPr>
          <w:rFonts w:cs="Times New Roman"/>
          <w:lang w:val="es-ES"/>
        </w:rPr>
        <w:t xml:space="preserve"> </w:t>
      </w:r>
      <w:r w:rsidR="008864FC">
        <w:rPr>
          <w:rFonts w:cs="Times New Roman"/>
          <w:lang w:val="es-ES"/>
        </w:rPr>
        <w:t>haría</w:t>
      </w:r>
      <w:r>
        <w:rPr>
          <w:rFonts w:cs="Times New Roman"/>
          <w:lang w:val="es-ES"/>
        </w:rPr>
        <w:t xml:space="preserve"> </w:t>
      </w:r>
      <w:r w:rsidR="008864FC">
        <w:rPr>
          <w:rFonts w:cs="Times New Roman"/>
          <w:lang w:val="es-ES"/>
        </w:rPr>
        <w:t>más</w:t>
      </w:r>
      <w:r>
        <w:rPr>
          <w:rFonts w:cs="Times New Roman"/>
          <w:lang w:val="es-ES"/>
        </w:rPr>
        <w:t xml:space="preserve"> tolerante a un mal servicio del docente </w:t>
      </w:r>
      <w:r w:rsidR="00731D24">
        <w:rPr>
          <w:rFonts w:cs="Times New Roman"/>
          <w:lang w:val="es-ES"/>
        </w:rPr>
        <w:t xml:space="preserve">e incluso tendría </w:t>
      </w:r>
      <w:r w:rsidR="008864FC">
        <w:rPr>
          <w:rFonts w:cs="Times New Roman"/>
          <w:lang w:val="es-ES"/>
        </w:rPr>
        <w:t xml:space="preserve">una </w:t>
      </w:r>
      <w:r>
        <w:rPr>
          <w:rFonts w:cs="Times New Roman"/>
          <w:lang w:val="es-ES"/>
        </w:rPr>
        <w:t>mayor motivación para terminar sus estudios sin importar la guía del docente</w:t>
      </w:r>
      <w:r w:rsidR="00731D24">
        <w:rPr>
          <w:rFonts w:cs="Times New Roman"/>
          <w:lang w:val="es-ES"/>
        </w:rPr>
        <w:t xml:space="preserve">. Asimismo, se estimó </w:t>
      </w:r>
      <w:r>
        <w:rPr>
          <w:rFonts w:cs="Times New Roman"/>
          <w:lang w:val="es-ES"/>
        </w:rPr>
        <w:t>que la experiencia previa que el estudiante tuviera a su vez como facilitador lo podría mostrar más empático a</w:t>
      </w:r>
      <w:r w:rsidR="00731D24">
        <w:rPr>
          <w:rFonts w:cs="Times New Roman"/>
          <w:lang w:val="es-ES"/>
        </w:rPr>
        <w:t>nte</w:t>
      </w:r>
      <w:r>
        <w:rPr>
          <w:rFonts w:cs="Times New Roman"/>
          <w:lang w:val="es-ES"/>
        </w:rPr>
        <w:t xml:space="preserve"> la escasez de competencia</w:t>
      </w:r>
      <w:r w:rsidR="00731D24">
        <w:rPr>
          <w:rFonts w:cs="Times New Roman"/>
          <w:lang w:val="es-ES"/>
        </w:rPr>
        <w:t>s</w:t>
      </w:r>
      <w:r>
        <w:rPr>
          <w:rFonts w:cs="Times New Roman"/>
          <w:lang w:val="es-ES"/>
        </w:rPr>
        <w:t xml:space="preserve"> de sus docentes. Sin embargo, la investigación mostró que ninguna de esas variables afecta la percepción sobre la alta competencia de los docentes en línea. </w:t>
      </w:r>
    </w:p>
    <w:p w14:paraId="520ED729" w14:textId="2D6CBD8A" w:rsidR="000850FC" w:rsidRDefault="000850FC" w:rsidP="000850FC">
      <w:pPr>
        <w:ind w:firstLine="708"/>
        <w:rPr>
          <w:rFonts w:cs="Times New Roman"/>
          <w:lang w:val="es-ES"/>
        </w:rPr>
      </w:pPr>
      <w:r>
        <w:rPr>
          <w:rFonts w:cs="Times New Roman"/>
          <w:lang w:val="es-ES"/>
        </w:rPr>
        <w:t xml:space="preserve">Es claro que estas percepciones pueden variar, </w:t>
      </w:r>
      <w:r w:rsidR="00731D24">
        <w:rPr>
          <w:rFonts w:cs="Times New Roman"/>
          <w:lang w:val="es-ES"/>
        </w:rPr>
        <w:t xml:space="preserve">pues, por ejemplo, </w:t>
      </w:r>
      <w:r>
        <w:rPr>
          <w:rFonts w:cs="Times New Roman"/>
          <w:lang w:val="es-ES"/>
        </w:rPr>
        <w:t>la situación de pandemia que actualmente se vive en el país ha llevado a reconsiderar a la educación en línea, sus alcances y sus necesidades particulares en materia de capacitación docente</w:t>
      </w:r>
      <w:r w:rsidR="00731D24">
        <w:rPr>
          <w:rFonts w:cs="Times New Roman"/>
          <w:lang w:val="es-ES"/>
        </w:rPr>
        <w:t xml:space="preserve">. En otras palabras, </w:t>
      </w:r>
      <w:r>
        <w:rPr>
          <w:rFonts w:cs="Times New Roman"/>
          <w:lang w:val="es-ES"/>
        </w:rPr>
        <w:t xml:space="preserve">prácticamente todo </w:t>
      </w:r>
      <w:r w:rsidR="00731D24">
        <w:rPr>
          <w:rFonts w:cs="Times New Roman"/>
          <w:lang w:val="es-ES"/>
        </w:rPr>
        <w:t>profesor</w:t>
      </w:r>
      <w:r>
        <w:rPr>
          <w:rFonts w:cs="Times New Roman"/>
          <w:lang w:val="es-ES"/>
        </w:rPr>
        <w:t xml:space="preserve"> ha tenido que incursionar de manera intempestiva en la educación en línea, </w:t>
      </w:r>
      <w:r w:rsidR="00731D24">
        <w:rPr>
          <w:rFonts w:cs="Times New Roman"/>
          <w:lang w:val="es-ES"/>
        </w:rPr>
        <w:t xml:space="preserve">muchas veces </w:t>
      </w:r>
      <w:r>
        <w:rPr>
          <w:rFonts w:cs="Times New Roman"/>
          <w:lang w:val="es-ES"/>
        </w:rPr>
        <w:t xml:space="preserve">sin preparación </w:t>
      </w:r>
      <w:r w:rsidR="00731D24">
        <w:rPr>
          <w:rFonts w:cs="Times New Roman"/>
          <w:lang w:val="es-ES"/>
        </w:rPr>
        <w:t>y sin</w:t>
      </w:r>
      <w:r>
        <w:rPr>
          <w:rFonts w:cs="Times New Roman"/>
          <w:lang w:val="es-ES"/>
        </w:rPr>
        <w:t xml:space="preserve"> una idea clara de lo que debe realizar, lo cual ha puesto de manifiesto áreas fuertes de oportunidad en capacitación docente</w:t>
      </w:r>
      <w:r w:rsidR="00731D24">
        <w:rPr>
          <w:rFonts w:cs="Times New Roman"/>
          <w:lang w:val="es-ES"/>
        </w:rPr>
        <w:t xml:space="preserve"> </w:t>
      </w:r>
      <w:r>
        <w:rPr>
          <w:rFonts w:cs="Times New Roman"/>
          <w:lang w:val="es-ES"/>
        </w:rPr>
        <w:t>(</w:t>
      </w:r>
      <w:r w:rsidR="00731D24">
        <w:rPr>
          <w:rFonts w:cs="Times New Roman"/>
          <w:lang w:val="es-ES"/>
        </w:rPr>
        <w:t>f</w:t>
      </w:r>
      <w:r>
        <w:rPr>
          <w:rFonts w:cs="Times New Roman"/>
          <w:lang w:val="es-ES"/>
        </w:rPr>
        <w:t>igura 2).</w:t>
      </w:r>
    </w:p>
    <w:p w14:paraId="1E612DE4" w14:textId="627D5D13" w:rsidR="000850FC" w:rsidRDefault="000850FC" w:rsidP="000850FC">
      <w:pPr>
        <w:ind w:firstLine="708"/>
        <w:rPr>
          <w:rFonts w:cs="Times New Roman"/>
          <w:lang w:val="es-ES"/>
        </w:rPr>
      </w:pPr>
    </w:p>
    <w:p w14:paraId="7E68942A" w14:textId="0D090F8A" w:rsidR="00727258" w:rsidRDefault="00727258" w:rsidP="000850FC">
      <w:pPr>
        <w:ind w:firstLine="708"/>
        <w:rPr>
          <w:rFonts w:cs="Times New Roman"/>
          <w:lang w:val="es-ES"/>
        </w:rPr>
      </w:pPr>
    </w:p>
    <w:p w14:paraId="2FA5D369" w14:textId="07AC386B" w:rsidR="00727258" w:rsidRDefault="00727258" w:rsidP="000850FC">
      <w:pPr>
        <w:ind w:firstLine="708"/>
        <w:rPr>
          <w:rFonts w:cs="Times New Roman"/>
          <w:lang w:val="es-ES"/>
        </w:rPr>
      </w:pPr>
    </w:p>
    <w:p w14:paraId="74FD091B" w14:textId="2A533F68" w:rsidR="00727258" w:rsidRDefault="00727258" w:rsidP="000850FC">
      <w:pPr>
        <w:ind w:firstLine="708"/>
        <w:rPr>
          <w:rFonts w:cs="Times New Roman"/>
          <w:lang w:val="es-ES"/>
        </w:rPr>
      </w:pPr>
    </w:p>
    <w:p w14:paraId="56B43027" w14:textId="59A82AEC" w:rsidR="00727258" w:rsidRDefault="00727258" w:rsidP="000850FC">
      <w:pPr>
        <w:ind w:firstLine="708"/>
        <w:rPr>
          <w:rFonts w:cs="Times New Roman"/>
          <w:lang w:val="es-ES"/>
        </w:rPr>
      </w:pPr>
    </w:p>
    <w:p w14:paraId="23838903" w14:textId="77777777" w:rsidR="00727258" w:rsidRDefault="00727258" w:rsidP="000850FC">
      <w:pPr>
        <w:ind w:firstLine="708"/>
        <w:rPr>
          <w:rFonts w:cs="Times New Roman"/>
          <w:lang w:val="es-ES"/>
        </w:rPr>
      </w:pPr>
    </w:p>
    <w:p w14:paraId="112A502F" w14:textId="77777777" w:rsidR="000850FC" w:rsidRDefault="000850FC" w:rsidP="000850FC">
      <w:pPr>
        <w:jc w:val="center"/>
        <w:rPr>
          <w:rFonts w:cs="Times New Roman"/>
          <w:lang w:val="es-ES"/>
        </w:rPr>
      </w:pPr>
      <w:r w:rsidRPr="00731D24">
        <w:rPr>
          <w:rFonts w:cs="Times New Roman"/>
          <w:b/>
          <w:lang w:val="es-ES"/>
        </w:rPr>
        <w:lastRenderedPageBreak/>
        <w:t>Figura 2.</w:t>
      </w:r>
      <w:r>
        <w:rPr>
          <w:rFonts w:cs="Times New Roman"/>
          <w:lang w:val="es-ES"/>
        </w:rPr>
        <w:t xml:space="preserve"> Modelo de </w:t>
      </w:r>
      <w:r w:rsidR="00731D24">
        <w:rPr>
          <w:rFonts w:cs="Times New Roman"/>
          <w:lang w:val="es-ES"/>
        </w:rPr>
        <w:t>c</w:t>
      </w:r>
      <w:r>
        <w:rPr>
          <w:rFonts w:cs="Times New Roman"/>
          <w:lang w:val="es-ES"/>
        </w:rPr>
        <w:t>ompetencias del docente en línea</w:t>
      </w:r>
    </w:p>
    <w:p w14:paraId="1F52D213" w14:textId="77777777" w:rsidR="000850FC" w:rsidRDefault="000850FC" w:rsidP="000850FC">
      <w:pPr>
        <w:ind w:firstLine="708"/>
        <w:jc w:val="center"/>
        <w:rPr>
          <w:rFonts w:cs="Times New Roman"/>
          <w:lang w:val="es-ES"/>
        </w:rPr>
      </w:pPr>
      <w:r>
        <w:rPr>
          <w:rFonts w:cs="Times New Roman"/>
          <w:noProof/>
          <w:lang w:val="es-VE" w:eastAsia="es-VE"/>
        </w:rPr>
        <w:drawing>
          <wp:inline distT="0" distB="0" distL="0" distR="0" wp14:anchorId="26E81EAE" wp14:editId="31EDB11C">
            <wp:extent cx="2847474" cy="1895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etencias para la docencia en líne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0601" cy="1897572"/>
                    </a:xfrm>
                    <a:prstGeom prst="rect">
                      <a:avLst/>
                    </a:prstGeom>
                  </pic:spPr>
                </pic:pic>
              </a:graphicData>
            </a:graphic>
          </wp:inline>
        </w:drawing>
      </w:r>
    </w:p>
    <w:p w14:paraId="4751E2D1" w14:textId="77777777" w:rsidR="000850FC" w:rsidRDefault="000850FC" w:rsidP="000850FC">
      <w:pPr>
        <w:jc w:val="center"/>
        <w:rPr>
          <w:rFonts w:cs="Times New Roman"/>
          <w:lang w:val="es-ES"/>
        </w:rPr>
      </w:pPr>
      <w:r>
        <w:rPr>
          <w:rFonts w:cs="Times New Roman"/>
          <w:lang w:val="es-ES"/>
        </w:rPr>
        <w:t xml:space="preserve">Fuente: </w:t>
      </w:r>
      <w:r>
        <w:rPr>
          <w:rFonts w:cs="Times New Roman"/>
          <w:lang w:val="es-ES"/>
        </w:rPr>
        <w:fldChar w:fldCharType="begin"/>
      </w:r>
      <w:r>
        <w:rPr>
          <w:rFonts w:cs="Times New Roman"/>
          <w:lang w:val="es-ES"/>
        </w:rPr>
        <w:instrText xml:space="preserve"> ADDIN ZOTERO_ITEM CSL_CITATION {"citationID":"7A4rnqzn","properties":{"formattedCitation":"(Dom\\uc0\\u237{}nguez Gonz\\uc0\\u225{}lez &amp; P\\uc0\\u233{}rez Dom\\uc0\\u237{}nguez, 2021)","plainCitation":"(Domínguez González &amp; Pérez Domínguez, 2021)","noteIndex":0},"citationItems":[{"id":191,"uris":["http://zotero.org/users/local/tvKJQPKe/items/29T525Z9"],"uri":["http://zotero.org/users/local/tvKJQPKe/items/29T525Z9"],"itemData":{"id":191,"type":"speech","title":"Competencias para la docencia en línea","URL":"https://www.uv.mx/personal/nadominguez/files/2021/04/Competencias-para-la-docencia-en-línea.jpeg","author":[{"family":"Domínguez González","given":"Nancy"},{"family":"Pérez Domínguez","given":"Elsa Aurora"}],"issued":{"date-parts":[["2021"]]}}}],"schema":"https://github.com/citation-style-language/schema/raw/master/csl-citation.json"} </w:instrText>
      </w:r>
      <w:r>
        <w:rPr>
          <w:rFonts w:cs="Times New Roman"/>
          <w:lang w:val="es-ES"/>
        </w:rPr>
        <w:fldChar w:fldCharType="separate"/>
      </w:r>
      <w:r w:rsidRPr="00BE65A0">
        <w:rPr>
          <w:rFonts w:cs="Times New Roman"/>
          <w:lang w:val="es-ES_tradnl"/>
        </w:rPr>
        <w:t xml:space="preserve">Domínguez González </w:t>
      </w:r>
      <w:r w:rsidR="00731D24">
        <w:rPr>
          <w:rFonts w:cs="Times New Roman"/>
          <w:lang w:val="es-ES_tradnl"/>
        </w:rPr>
        <w:t>y</w:t>
      </w:r>
      <w:r w:rsidRPr="00BE65A0">
        <w:rPr>
          <w:rFonts w:cs="Times New Roman"/>
          <w:lang w:val="es-ES_tradnl"/>
        </w:rPr>
        <w:t xml:space="preserve"> Pérez Domínguez </w:t>
      </w:r>
      <w:r w:rsidR="00731D24">
        <w:rPr>
          <w:rFonts w:cs="Times New Roman"/>
          <w:lang w:val="es-ES_tradnl"/>
        </w:rPr>
        <w:t>(</w:t>
      </w:r>
      <w:r w:rsidRPr="00BE65A0">
        <w:rPr>
          <w:rFonts w:cs="Times New Roman"/>
          <w:lang w:val="es-ES_tradnl"/>
        </w:rPr>
        <w:t>2021)</w:t>
      </w:r>
      <w:r>
        <w:rPr>
          <w:rFonts w:cs="Times New Roman"/>
          <w:lang w:val="es-ES"/>
        </w:rPr>
        <w:fldChar w:fldCharType="end"/>
      </w:r>
    </w:p>
    <w:p w14:paraId="196325E3" w14:textId="77777777" w:rsidR="00733553" w:rsidRDefault="000850FC" w:rsidP="000850FC">
      <w:r>
        <w:rPr>
          <w:rFonts w:cs="Times New Roman"/>
          <w:lang w:val="es-ES"/>
        </w:rPr>
        <w:tab/>
      </w:r>
      <w:r w:rsidRPr="005D33DA">
        <w:t>Existen muchos enfoques sobre lo que el docente en línea debe y no debe hacer</w:t>
      </w:r>
      <w:r>
        <w:t xml:space="preserve"> </w:t>
      </w:r>
      <w:r w:rsidR="00731D24">
        <w:t>(</w:t>
      </w:r>
      <w:r w:rsidR="00731D24">
        <w:fldChar w:fldCharType="begin"/>
      </w:r>
      <w:r w:rsidR="00731D24">
        <w:instrText xml:space="preserve"> ADDIN ZOTERO_ITEM CSL_CITATION {"citationID":"XCIwE6Pt","properties":{"formattedCitation":"(Campos C\\uc0\\u233{}spedes et\\uc0\\u160{}al., 2011)","plainCitation":"(Campos Céspedes et al., 2011)","noteIndex":0},"citationItems":[{"id":181,"uris":["http://zotero.org/users/local/tvKJQPKe/items/Y7UJ5K7N"],"uri":["http://zotero.org/users/local/tvKJQPKe/items/Y7UJ5K7N"],"itemData":{"id":181,"type":"article-journal","abstract":"This article proposes a profile of skills for long distance university level teaching on line. For the design of this profile a literature review was realized in two phases, one convergent on searches on ERIC data bases, using as discriminators the publication period 2008-2010 and the key word \"teacher aptitudes\". In this phase we obtained a total of 245 documents and a divergent phase was realized in which the titles and summaries of the selected documents were more closely related for teaching on line. Those documents were refilter using relevant criteria of the aptitudes proposed by the authors, with the new trends in education. Then, the analysis of those refiltered papers was realized and coincidences between skills and aptitudes were identified for the educators that labored using learning platforms on line.Once identified the proposed aptitud or competence of the different authors, these were compared with the tendencies in long distance education and words were identified on aspects of the profile that, just be taking into account in the profile of the on line educator (teacher) in view of the actual developments on this education method. Finally, we proceeded to design a proposal profile with a series of considered vital habilities for the execution of the education activity in this long distance educational context. This profile could be used for self-evaluation of the teachers and as an input in the selection process and teaching professional development.","container-title":"Actualidades Investigativas en Educación","DOI":"10.15517/aie.v10i3.10141","ISSN":"1409-4703","issue":"3","journalAbbreviation":"Act. Inv. en Educ.","language":"es","source":"DOI.org (Crossref)","title":"Competencias del docente de educación superior en línea","URL":"http://revistas.ucr.ac.cr/index.php/aie/article/view/10141","volume":"10","author":[{"family":"Campos Céspedes","given":"Jensy"},{"family":"Brenes Matarrita","given":"Olga Ligia"},{"family":"Solano Castro","given":"Adrián"}],"accessed":{"date-parts":[["2021",4,14]]},"issued":{"date-parts":[["2011",3,28]]}}}],"schema":"https://github.com/citation-style-language/schema/raw/master/csl-citation.json"} </w:instrText>
      </w:r>
      <w:r w:rsidR="00731D24">
        <w:fldChar w:fldCharType="separate"/>
      </w:r>
      <w:r w:rsidR="00731D24" w:rsidRPr="00FE218D">
        <w:rPr>
          <w:rFonts w:cs="Times New Roman"/>
          <w:lang w:val="es-ES_tradnl"/>
        </w:rPr>
        <w:t xml:space="preserve">Campos Céspedes </w:t>
      </w:r>
      <w:r w:rsidR="00731D24" w:rsidRPr="00731D24">
        <w:rPr>
          <w:rFonts w:cs="Times New Roman"/>
          <w:i/>
          <w:lang w:val="es-ES_tradnl"/>
        </w:rPr>
        <w:t>et al</w:t>
      </w:r>
      <w:r w:rsidR="00731D24" w:rsidRPr="00FE218D">
        <w:rPr>
          <w:rFonts w:cs="Times New Roman"/>
          <w:lang w:val="es-ES_tradnl"/>
        </w:rPr>
        <w:t>., 2011</w:t>
      </w:r>
      <w:r w:rsidR="00731D24">
        <w:fldChar w:fldCharType="end"/>
      </w:r>
      <w:r w:rsidR="00731D24">
        <w:t xml:space="preserve">; </w:t>
      </w:r>
      <w:r w:rsidR="00731D24">
        <w:fldChar w:fldCharType="begin"/>
      </w:r>
      <w:r w:rsidR="00731D24">
        <w:instrText xml:space="preserve"> ADDIN ZOTERO_ITEM CSL_CITATION {"citationID":"0YEfbEf3","properties":{"formattedCitation":"(Casta\\uc0\\u241{}eda et\\uc0\\u160{}al., 2018)","plainCitation":"(Castañeda et al., 2018)","noteIndex":0},"citationItems":[{"id":188,"uris":["http://zotero.org/users/local/tvKJQPKe/items/GNVX3JJ6"],"uri":["http://zotero.org/users/local/tvKJQPKe/items/GNVX3JJ6"],"itemData":{"id":188,"type":"article-journal","container-title":"Revista de Educación a Distancia (RED)","ISSN":"1578-7680","issue":"56","journalAbbreviation":"Red","language":"es","note":"number: 56","source":"revistas.um.es","title":"¿Por qué es necesario repensar la competencia docente para el mundo digital?","URL":"https://revistas.um.es/red/article/view/321581","author":[{"family":"Castañeda","given":"Linda"},{"family":"Esteve","given":"Francesc"},{"family":"Adell","given":"Jordi"}],"accessed":{"date-parts":[["2021",4,14]]},"issued":{"date-parts":[["2018",3,26]]}}}],"schema":"https://github.com/citation-style-language/schema/raw/master/csl-citation.json"} </w:instrText>
      </w:r>
      <w:r w:rsidR="00731D24">
        <w:fldChar w:fldCharType="separate"/>
      </w:r>
      <w:r w:rsidR="00731D24" w:rsidRPr="00222E81">
        <w:rPr>
          <w:rFonts w:cs="Times New Roman"/>
          <w:lang w:val="es-ES_tradnl"/>
        </w:rPr>
        <w:t xml:space="preserve">Castañeda </w:t>
      </w:r>
      <w:r w:rsidR="00731D24" w:rsidRPr="00731D24">
        <w:rPr>
          <w:rFonts w:cs="Times New Roman"/>
          <w:i/>
          <w:lang w:val="es-ES_tradnl"/>
        </w:rPr>
        <w:t>et al</w:t>
      </w:r>
      <w:r w:rsidR="00731D24" w:rsidRPr="00222E81">
        <w:rPr>
          <w:rFonts w:cs="Times New Roman"/>
          <w:lang w:val="es-ES_tradnl"/>
        </w:rPr>
        <w:t>., 2018</w:t>
      </w:r>
      <w:r w:rsidR="00731D24">
        <w:fldChar w:fldCharType="end"/>
      </w:r>
      <w:r w:rsidR="00731D24">
        <w:t xml:space="preserve">; </w:t>
      </w:r>
      <w:r w:rsidR="00731D24">
        <w:fldChar w:fldCharType="begin"/>
      </w:r>
      <w:r w:rsidR="00731D24">
        <w:instrText xml:space="preserve"> ADDIN ZOTERO_ITEM CSL_CITATION {"citationID":"bBIGpZ8i","properties":{"formattedCitation":"(Fernandes et\\uc0\\u160{}al., 2016)","plainCitation":"(Fernandes et al., 2016)","noteIndex":0},"citationItems":[{"id":182,"uris":["http://zotero.org/users/local/tvKJQPKe/items/2V8LLLIJ"],"uri":["http://zotero.org/users/local/tvKJQPKe/items/2V8LLLIJ"],"itemData":{"id":182,"type":"article-journal","container-title":"Formación universitaria","DOI":"10.4067/S0718-50062016000500003","ISSN":"0718-5006","issue":"5","note":"publisher: Centro de Información Tecnológica","page":"15-24","source":"SciELO","title":"La Evaluación del Desempeño por Competencias: Percepciones de Docentes y Estudiantes en la Educación Superior","title-short":"La Evaluación del Desempeño por Competencias","URL":"https://scielo.conicyt.cl/scielo.php?script=sci_abstract&amp;pid=S0718-50062016000500003&amp;lng=es&amp;nrm=iso&amp;tlng=n","volume":"9","author":[{"family":"Fernandes","given":"Domingos J."},{"family":"Sotolongo","given":"Maria"},{"family":"Martínez","given":"Carlos C."}],"accessed":{"date-parts":[["2021",4,14]]},"issued":{"date-parts":[["2016"]]}}}],"schema":"https://github.com/citation-style-language/schema/raw/master/csl-citation.json"} </w:instrText>
      </w:r>
      <w:r w:rsidR="00731D24">
        <w:fldChar w:fldCharType="separate"/>
      </w:r>
      <w:r w:rsidR="00731D24" w:rsidRPr="004445F5">
        <w:rPr>
          <w:rFonts w:cs="Times New Roman"/>
          <w:lang w:val="es-ES_tradnl"/>
        </w:rPr>
        <w:t xml:space="preserve">Fernandes </w:t>
      </w:r>
      <w:r w:rsidR="00731D24" w:rsidRPr="00731D24">
        <w:rPr>
          <w:rFonts w:cs="Times New Roman"/>
          <w:i/>
          <w:lang w:val="es-ES_tradnl"/>
        </w:rPr>
        <w:t>et al</w:t>
      </w:r>
      <w:r w:rsidR="00731D24" w:rsidRPr="004445F5">
        <w:rPr>
          <w:rFonts w:cs="Times New Roman"/>
          <w:lang w:val="es-ES_tradnl"/>
        </w:rPr>
        <w:t>., 2016</w:t>
      </w:r>
      <w:r w:rsidR="00731D24">
        <w:fldChar w:fldCharType="end"/>
      </w:r>
      <w:r w:rsidR="00731D24">
        <w:t xml:space="preserve">; </w:t>
      </w:r>
      <w:r>
        <w:fldChar w:fldCharType="begin"/>
      </w:r>
      <w:r>
        <w:instrText xml:space="preserve"> ADDIN ZOTERO_ITEM CSL_CITATION {"citationID":"zsOc98QX","properties":{"formattedCitation":"(Garc\\uc0\\u237{}a-Cabrero et\\uc0\\u160{}al., 2018)","plainCitation":"(García-Cabrero et al., 2018)","noteIndex":0},"citationItems":[{"id":179,"uris":["http://zotero.org/users/local/tvKJQPKe/items/XMY89JU3"],"uri":["http://zotero.org/users/local/tvKJQPKe/items/XMY89JU3"],"itemData":{"id":179,"type":"article-journal","abstract":"The competencies of teachers working in virtual learning environments are complex; they have distinctive characteristics associated with novel formats of instructional design and teaching. They involve mastery to manage and monitor students’ learning, to give feedback on their performance, to stimulate motivation and group cohesion, to promote facilitating emotions and student’s self-regulating and metacognitive processes; so, it is necessary to generate a comprehensive model to evaluate them. This paper describes a Teaching Competences Assessment Model for Online Teaching (MECDL), which considers types of participants’ presence (teaching, cognitive, social, emotional and learning), as well as conversational cycles and instructional sequence. Focus groups with virtual learning modality experts (researchers and teachers) to validate the content of the dimensions, competences and indicators of the MECDL. The resulting parameters were contrasted with different models of online teaching to elaborate the final version of the model, which includes the forecast dimension of the teaching-learning process (five competences and 27 indicators), conduction of the teaching-learning process (three competences and 40 indicators), and evaluation of the impact of the teaching-learning process (one competency and six indicators). The MECDL is proposed to be used as a conceptual framework to guide the performance, evaluation and training of online learning faculty.","container-title":"RIED. Revista Iberoamericana de Educación a Distancia","language":"es","page":"23","source":"Zotero","title":"Las competencias docentes en entornos virtuales: un modelo para su evaluación","author":[{"family":"García-Cabrero","given":"Benilde"},{"family":"Serrano","given":"Edna Luna"},{"family":"Ceballos","given":"Salvador Ponce"},{"family":"Cisneros-Cohernour","given":"Edith J"},{"family":"Arroyo","given":"Graciela Cordero"},{"family":"Díaz","given":"Yessica Espinosa"},{"family":"Vigil","given":"María Hortensia García"}],"issued":{"date-parts":[["2018"]]}}}],"schema":"https://github.com/citation-style-language/schema/raw/master/csl-citation.json"} </w:instrText>
      </w:r>
      <w:r>
        <w:fldChar w:fldCharType="separate"/>
      </w:r>
      <w:r w:rsidRPr="00FE218D">
        <w:rPr>
          <w:rFonts w:cs="Times New Roman"/>
          <w:lang w:val="es-ES_tradnl"/>
        </w:rPr>
        <w:t xml:space="preserve">García </w:t>
      </w:r>
      <w:r w:rsidRPr="00731D24">
        <w:rPr>
          <w:rFonts w:cs="Times New Roman"/>
          <w:i/>
          <w:lang w:val="es-ES_tradnl"/>
        </w:rPr>
        <w:t>et al</w:t>
      </w:r>
      <w:r w:rsidRPr="00FE218D">
        <w:rPr>
          <w:rFonts w:cs="Times New Roman"/>
          <w:lang w:val="es-ES_tradnl"/>
        </w:rPr>
        <w:t>., 2018</w:t>
      </w:r>
      <w:r>
        <w:fldChar w:fldCharType="end"/>
      </w:r>
      <w:r w:rsidR="00731D24">
        <w:t>;</w:t>
      </w:r>
      <w:r w:rsidR="008877D4">
        <w:t xml:space="preserve"> </w:t>
      </w:r>
      <w:r>
        <w:fldChar w:fldCharType="begin"/>
      </w:r>
      <w:r>
        <w:instrText xml:space="preserve"> ADDIN ZOTERO_ITEM CSL_CITATION {"citationID":"dZjLfSX4","properties":{"formattedCitation":"(Tejeda Fern\\uc0\\u225{}ndez &amp; Pozos P\\uc0\\u233{}rez, 2018)","plainCitation":"(Tejeda Fernández &amp; Pozos Pérez, 2018)","noteIndex":0},"citationItems":[{"id":185,"uris":["http://zotero.org/users/local/tvKJQPKe/items/ARWF7W87"],"uri":["http://zotero.org/users/local/tvKJQPKe/items/ARWF7W87"],"itemData":{"id":185,"type":"article-journal","container-title":"Profesorado, Revista de Currículum y Formación del Profesorado","DOI":"10.30827/profesorado.v22i1.9917","ISSN":"1989-6395","issue":"1","language":"es","note":"number: 1","page":"25-51","source":"revistaseug.ugr.es","title":"Nuevos escenarios y competencias digitales docentes: Hacia la profesionalización docente con TIC","title-short":"Nuevos escenarios y competencias digitales docentes","URL":"http://revistaseug.ugr.es/index.php/profesorado/article/view/9917","volume":"22","author":[{"family":"Tejeda Fernández","given":"José"},{"family":"Pozos Pérez","given":"Katia V."}],"accessed":{"date-parts":[["2021",4,14]]},"issued":{"date-parts":[["2018",3,1]]}}}],"schema":"https://github.com/citation-style-language/schema/raw/master/csl-citation.json"} </w:instrText>
      </w:r>
      <w:r>
        <w:fldChar w:fldCharType="separate"/>
      </w:r>
      <w:r w:rsidRPr="00222E81">
        <w:rPr>
          <w:rFonts w:cs="Times New Roman"/>
          <w:lang w:val="es-ES_tradnl"/>
        </w:rPr>
        <w:t xml:space="preserve">Tejeda Fernández </w:t>
      </w:r>
      <w:r w:rsidR="00731D24">
        <w:rPr>
          <w:rFonts w:cs="Times New Roman"/>
          <w:lang w:val="es-ES_tradnl"/>
        </w:rPr>
        <w:t>y</w:t>
      </w:r>
      <w:r w:rsidRPr="00222E81">
        <w:rPr>
          <w:rFonts w:cs="Times New Roman"/>
          <w:lang w:val="es-ES_tradnl"/>
        </w:rPr>
        <w:t xml:space="preserve"> Pozos Pérez, 2018</w:t>
      </w:r>
      <w:r>
        <w:fldChar w:fldCharType="end"/>
      </w:r>
      <w:r w:rsidR="00731D24">
        <w:t>;</w:t>
      </w:r>
      <w:r>
        <w:fldChar w:fldCharType="begin"/>
      </w:r>
      <w:r>
        <w:instrText xml:space="preserve"> ADDIN ZOTERO_ITEM CSL_CITATION {"citationID":"bkXAUdar","properties":{"formattedCitation":"(Valencia-Molina et\\uc0\\u160{}al., 2016)","plainCitation":"(Valencia-Molina et al., 2016)","noteIndex":0},"citationItems":[{"id":30,"uris":["http://zotero.org/users/local/tvKJQPKe/items/CQX6J6ZH"],"uri":["http://zotero.org/users/local/tvKJQPKe/items/CQX6J6ZH"],"itemData":{"id":30,"type":"article-journal","abstract":"La propuesta de formación basada en Competencias y Estándares TIC (Tecnologías de la Información y la Comunicación) desde la Dimensión Pedagógica que se expone en este documento se fundamenta en el diálogo permanente entre experiencias de investigación y formación docente alrededor del uso reflexivo de las TIC. El desafío más grande de esta propuesta de formación es transcender el uso de las TIC y centrarse en la práctica docente como el proceso más importante a transformar. El propósito de esta propuesta es aportar en la visión de la formación de calidad que un docente en la actualidad debe tener para enfrentar el desafío de enseñar en una sociedad de la información y el \n conocimiento. Este pretende ser un referente de formación para el mejoramiento de la calidad educativa en instituciones educativas en cualquier nivel de formación, desde un abordaje de niveles de apropiación de las TIC y sus usos educativos. En este documento se describen los elementos contextuales en donde se encuentra enmarcada la propuesta; se presenta el modelo de Competencias y Estándares TIC desde la dimensión pedagógica basada en niveles de apropiación de las TIC, su sentido y uso a partir de la ruta formativa: Con-TIC-Go, que consta de seis fases; los recursos metodológicos que soportan la ruta formativa y los alcances y límites de la propuesta.","title":"Competencias y estándares TIC desde la dimensión pedagógica: una perspectiva desde los niveles de apropiación de las TIC en la práctica educativa docente","URL":"http://www.unesco.org/new/fileadmin/MULTIMEDIA/FIELD/Santiago/pdf/Competencias-estandares-TIC.pdf","author":[{"family":"Valencia-Molina","given":"Tatiana"},{"family":"Serna-Collazos","given":"Andrea"},{"family":"Ochoa-Angrino","given":"Solanlly"},{"family":"Caicedo-Tamayo","given":"Adriana María"},{"family":"Montes-González","given":"Jairo Andrés"},{"family":"Chávez-Vescance","given":"José David"}],"accessed":{"date-parts":[["2020",4,5]]},"issued":{"date-parts":[["2016"]]}}}],"schema":"https://github.com/citation-style-language/schema/raw/master/csl-citation.json"} </w:instrText>
      </w:r>
      <w:r>
        <w:fldChar w:fldCharType="separate"/>
      </w:r>
      <w:r w:rsidRPr="00205EFD">
        <w:rPr>
          <w:rFonts w:cs="Times New Roman"/>
          <w:lang w:val="es-ES_tradnl"/>
        </w:rPr>
        <w:t xml:space="preserve">Valencia-Molina </w:t>
      </w:r>
      <w:r w:rsidRPr="00731D24">
        <w:rPr>
          <w:rFonts w:cs="Times New Roman"/>
          <w:i/>
          <w:lang w:val="es-ES_tradnl"/>
        </w:rPr>
        <w:t>et al</w:t>
      </w:r>
      <w:r w:rsidRPr="00205EFD">
        <w:rPr>
          <w:rFonts w:cs="Times New Roman"/>
          <w:lang w:val="es-ES_tradnl"/>
        </w:rPr>
        <w:t>., 2016</w:t>
      </w:r>
      <w:r>
        <w:fldChar w:fldCharType="end"/>
      </w:r>
      <w:r w:rsidR="00731D24">
        <w:t>). S</w:t>
      </w:r>
      <w:r w:rsidRPr="005D33DA">
        <w:t>in embargo</w:t>
      </w:r>
      <w:r w:rsidR="00731D24">
        <w:t>,</w:t>
      </w:r>
      <w:r w:rsidRPr="005D33DA">
        <w:t xml:space="preserve"> esta investigación </w:t>
      </w:r>
      <w:r w:rsidR="00733553">
        <w:t>estuvo</w:t>
      </w:r>
      <w:r w:rsidRPr="005D33DA">
        <w:t xml:space="preserve"> delimitada por la exploración de las </w:t>
      </w:r>
      <w:r w:rsidR="00733553">
        <w:t xml:space="preserve">cinco </w:t>
      </w:r>
      <w:r w:rsidRPr="005D33DA">
        <w:t xml:space="preserve">competencias específicas </w:t>
      </w:r>
      <w:r w:rsidR="00733553">
        <w:t>que</w:t>
      </w:r>
      <w:r w:rsidR="00733553" w:rsidRPr="005D33DA">
        <w:t xml:space="preserve"> el docente en línea</w:t>
      </w:r>
      <w:r w:rsidR="00733553">
        <w:t xml:space="preserve"> —según Berge </w:t>
      </w:r>
      <w:r w:rsidR="00733553">
        <w:fldChar w:fldCharType="begin"/>
      </w:r>
      <w:r w:rsidR="00733553">
        <w:instrText xml:space="preserve"> ADDIN ZOTERO_ITEM CSL_CITATION {"citationID":"PKutozo2","properties":{"formattedCitation":"(1995)","plainCitation":"(1995)","noteIndex":0},"citationItems":[{"id":"jSIoxcVM/vBsxi3Rz","uris":["http://zotero.org/users/local/tvKJQPKe/items/WSKR27YS"],"uri":["http://zotero.org/users/local/tvKJQPKe/items/WSKR27YS"],"itemData":{"id":"S8AXKFiM/EzVbXfSc","type":"webpage","title":"The Role of the Online Instructor/Facilitator","URL":"http://www.cordonline.net/mntutorial2/module_2/Reading%202-1%20instructor%20role.pdf","author":[{"family":"Berge","given":"Z"}],"issued":{"date-parts":[["1995"]]},"accessed":{"date-parts":[["2010",1,30]]}},"suppress-author":true}],"schema":"https://github.com/citation-style-language/schema/raw/master/csl-citation.json"} </w:instrText>
      </w:r>
      <w:r w:rsidR="00733553">
        <w:fldChar w:fldCharType="separate"/>
      </w:r>
      <w:r w:rsidR="00733553">
        <w:rPr>
          <w:noProof/>
        </w:rPr>
        <w:t>(1995)</w:t>
      </w:r>
      <w:r w:rsidR="00733553">
        <w:fldChar w:fldCharType="end"/>
      </w:r>
      <w:r w:rsidR="00733553">
        <w:t xml:space="preserve"> y Paulsen </w:t>
      </w:r>
      <w:r w:rsidR="00733553">
        <w:fldChar w:fldCharType="begin"/>
      </w:r>
      <w:r w:rsidR="00733553">
        <w:instrText xml:space="preserve"> ADDIN ZOTERO_ITEM CSL_CITATION {"citationID":"gtsOERWg","properties":{"formattedCitation":"(1995)","plainCitation":"(1995)","noteIndex":0},"citationItems":[{"id":45,"uris":["http://zotero.org/users/local/tvKJQPKe/items/5JS5GTMH"],"uri":["http://zotero.org/users/local/tvKJQPKe/items/5JS5GTMH"],"itemData":{"id":45,"type":"book","event-place":"Oslo","ISBN":"82-562-3690-6","publisher":"NKI Oslo, Norway","publisher-place":"Oslo","title":"The online report on pedagogical techniques for computer-mediated communication","URL":"http://paedpsych.jk.uni-linz.ac.at/PAEDPSYCH/NETSCHULE/NETSCHULELITERATUR/Paulsen95.html","author":[{"family":"Paulsen","given":"Morton Flate"}],"accessed":{"date-parts":[["2020",4,1]]},"issued":{"date-parts":[["1995"]]}},"suppress-author":true}],"schema":"https://github.com/citation-style-language/schema/raw/master/csl-citation.json"} </w:instrText>
      </w:r>
      <w:r w:rsidR="00733553">
        <w:fldChar w:fldCharType="separate"/>
      </w:r>
      <w:r w:rsidR="00733553">
        <w:rPr>
          <w:noProof/>
        </w:rPr>
        <w:t>(1995)</w:t>
      </w:r>
      <w:r w:rsidR="00733553">
        <w:fldChar w:fldCharType="end"/>
      </w:r>
      <w:r w:rsidR="00733553">
        <w:t>— tendría que</w:t>
      </w:r>
      <w:r w:rsidR="00733553" w:rsidRPr="005D33DA">
        <w:t xml:space="preserve"> cubrir en su práctica</w:t>
      </w:r>
      <w:r w:rsidR="00733553">
        <w:t xml:space="preserve">, es decir, </w:t>
      </w:r>
      <w:r w:rsidRPr="005D33DA">
        <w:t>saber</w:t>
      </w:r>
      <w:r w:rsidR="00733553">
        <w:t>es</w:t>
      </w:r>
      <w:r w:rsidRPr="005D33DA">
        <w:t xml:space="preserve"> pedagógico</w:t>
      </w:r>
      <w:r w:rsidR="00733553">
        <w:t>s</w:t>
      </w:r>
      <w:r w:rsidRPr="005D33DA">
        <w:t>, social</w:t>
      </w:r>
      <w:r w:rsidR="00733553">
        <w:t>es</w:t>
      </w:r>
      <w:r w:rsidRPr="005D33DA">
        <w:t>, administrativo</w:t>
      </w:r>
      <w:r w:rsidR="00733553">
        <w:t>s</w:t>
      </w:r>
      <w:r w:rsidRPr="005D33DA">
        <w:t>, tecnológico</w:t>
      </w:r>
      <w:r w:rsidR="00733553">
        <w:t>s</w:t>
      </w:r>
      <w:r w:rsidRPr="005D33DA">
        <w:t xml:space="preserve"> y </w:t>
      </w:r>
      <w:r w:rsidR="00733553">
        <w:t>evaluativos</w:t>
      </w:r>
      <w:r>
        <w:t>.</w:t>
      </w:r>
      <w:r w:rsidRPr="005D33DA">
        <w:t xml:space="preserve"> </w:t>
      </w:r>
    </w:p>
    <w:p w14:paraId="0BB13528" w14:textId="72EBFC14" w:rsidR="000850FC" w:rsidRDefault="00733553" w:rsidP="00733553">
      <w:pPr>
        <w:ind w:firstLine="708"/>
        <w:rPr>
          <w:rFonts w:cs="Times New Roman"/>
          <w:lang w:val="es-ES"/>
        </w:rPr>
      </w:pPr>
      <w:r>
        <w:t>En tal sentido, e</w:t>
      </w:r>
      <w:r w:rsidR="000850FC">
        <w:rPr>
          <w:rFonts w:cs="Times New Roman"/>
          <w:lang w:val="es-ES"/>
        </w:rPr>
        <w:t xml:space="preserve">l modelo teórico de competencias derivado de esta perspectiva </w:t>
      </w:r>
      <w:r w:rsidR="000850FC">
        <w:rPr>
          <w:rFonts w:cs="Times New Roman"/>
          <w:lang w:val="es-ES"/>
        </w:rPr>
        <w:fldChar w:fldCharType="begin"/>
      </w:r>
      <w:r w:rsidR="000850FC">
        <w:rPr>
          <w:rFonts w:cs="Times New Roman"/>
          <w:lang w:val="es-ES"/>
        </w:rPr>
        <w:instrText xml:space="preserve"> ADDIN ZOTERO_ITEM CSL_CITATION {"citationID":"uhMfkCl7","properties":{"formattedCitation":"(Dom\\uc0\\u237{}nguez-Gonz\\uc0\\u225{}lez et\\uc0\\u160{}al., 2010)","plainCitation":"(Domínguez-González et al., 2010)","noteIndex":0},"citationItems":[{"id":46,"uris":["http://zotero.org/users/local/tvKJQPKe/items/Z7AAKC4V"],"uri":["http://zotero.org/users/local/tvKJQPKe/items/Z7AAKC4V"],"itemData":{"id":46,"type":"paper-conference","container-title":"Proceedings of the ICERI 2010 Conference","title":"Competencies needed in online teaching in Mexico","URL":"https://scholar.google.com/scholar?hl=es&amp;as_sdt=0%2C5&amp;q=competencies+for+online+teaching+in+mexico+2010%2Bgonzalez&amp;btnG=","author":[{"family":"Domínguez-González","given":"N"},{"family":"Limón","given":"O Hernández"},{"family":"Limón","given":"C Hernández"}],"accessed":{"date-parts":[["2020",4,5]]},"issued":{"date-parts":[["2010"]]}}}],"schema":"https://github.com/citation-style-language/schema/raw/master/csl-citation.json"} </w:instrText>
      </w:r>
      <w:r w:rsidR="000850FC">
        <w:rPr>
          <w:rFonts w:cs="Times New Roman"/>
          <w:lang w:val="es-ES"/>
        </w:rPr>
        <w:fldChar w:fldCharType="separate"/>
      </w:r>
      <w:r w:rsidR="000850FC" w:rsidRPr="00205EFD">
        <w:rPr>
          <w:rFonts w:cs="Times New Roman"/>
          <w:lang w:val="es-ES_tradnl"/>
        </w:rPr>
        <w:t xml:space="preserve">(Domínguez-González </w:t>
      </w:r>
      <w:r w:rsidR="000850FC" w:rsidRPr="00733553">
        <w:rPr>
          <w:rFonts w:cs="Times New Roman"/>
          <w:i/>
          <w:lang w:val="es-ES_tradnl"/>
        </w:rPr>
        <w:t>et al</w:t>
      </w:r>
      <w:r w:rsidR="000850FC" w:rsidRPr="00205EFD">
        <w:rPr>
          <w:rFonts w:cs="Times New Roman"/>
          <w:lang w:val="es-ES_tradnl"/>
        </w:rPr>
        <w:t>., 2010)</w:t>
      </w:r>
      <w:r w:rsidR="000850FC">
        <w:rPr>
          <w:rFonts w:cs="Times New Roman"/>
          <w:lang w:val="es-ES"/>
        </w:rPr>
        <w:fldChar w:fldCharType="end"/>
      </w:r>
      <w:r w:rsidR="000850FC">
        <w:rPr>
          <w:rFonts w:cs="Times New Roman"/>
          <w:lang w:val="es-ES"/>
        </w:rPr>
        <w:t xml:space="preserve"> probó su pertinencia para evaluar la docencia de calidad en programas educativos en línea</w:t>
      </w:r>
      <w:r>
        <w:rPr>
          <w:rFonts w:cs="Times New Roman"/>
          <w:lang w:val="es-ES"/>
        </w:rPr>
        <w:t>;</w:t>
      </w:r>
      <w:r w:rsidR="000850FC">
        <w:rPr>
          <w:rFonts w:cs="Times New Roman"/>
          <w:lang w:val="es-ES"/>
        </w:rPr>
        <w:t xml:space="preserve"> sin embargo</w:t>
      </w:r>
      <w:r>
        <w:rPr>
          <w:rFonts w:cs="Times New Roman"/>
          <w:lang w:val="es-ES"/>
        </w:rPr>
        <w:t>,</w:t>
      </w:r>
      <w:r w:rsidR="000850FC">
        <w:rPr>
          <w:rFonts w:cs="Times New Roman"/>
          <w:lang w:val="es-ES"/>
        </w:rPr>
        <w:t xml:space="preserve"> es importante </w:t>
      </w:r>
      <w:r>
        <w:rPr>
          <w:rFonts w:cs="Times New Roman"/>
          <w:lang w:val="es-ES"/>
        </w:rPr>
        <w:t>reseñar</w:t>
      </w:r>
      <w:r w:rsidR="000850FC">
        <w:rPr>
          <w:rFonts w:cs="Times New Roman"/>
          <w:lang w:val="es-ES"/>
        </w:rPr>
        <w:t xml:space="preserve"> que la investigación tuvo un enfoque cuantitativo y estuvo limitada por el tipo de información que se puede operacionalizar para obtener datos y aplicar estadística. Lo anterior abre la posibilidad de establecer estudios de corte cualitativo para analizar la experiencia de aquellos docentes identificados como altamente competentes</w:t>
      </w:r>
      <w:r>
        <w:rPr>
          <w:rFonts w:cs="Times New Roman"/>
          <w:lang w:val="es-ES"/>
        </w:rPr>
        <w:t xml:space="preserve">. Así se podría </w:t>
      </w:r>
      <w:r w:rsidR="000850FC">
        <w:rPr>
          <w:rFonts w:cs="Times New Roman"/>
          <w:lang w:val="es-ES"/>
        </w:rPr>
        <w:t xml:space="preserve">recuperar su visión para proponer, a partir de esa experiencia, vías de acción </w:t>
      </w:r>
      <w:r>
        <w:rPr>
          <w:rFonts w:cs="Times New Roman"/>
          <w:lang w:val="es-ES"/>
        </w:rPr>
        <w:t xml:space="preserve">dentro </w:t>
      </w:r>
      <w:r w:rsidR="000850FC">
        <w:rPr>
          <w:rFonts w:cs="Times New Roman"/>
          <w:lang w:val="es-ES"/>
        </w:rPr>
        <w:t xml:space="preserve">de las instituciones para formar docentes en esta modalidad e incluso para </w:t>
      </w:r>
      <w:r>
        <w:rPr>
          <w:rFonts w:cs="Times New Roman"/>
          <w:lang w:val="es-ES"/>
        </w:rPr>
        <w:t xml:space="preserve">la </w:t>
      </w:r>
      <w:r w:rsidR="000850FC">
        <w:rPr>
          <w:rFonts w:cs="Times New Roman"/>
          <w:lang w:val="es-ES"/>
        </w:rPr>
        <w:t xml:space="preserve">modalidad mixta, </w:t>
      </w:r>
      <w:r>
        <w:rPr>
          <w:rFonts w:cs="Times New Roman"/>
          <w:lang w:val="es-ES"/>
        </w:rPr>
        <w:t xml:space="preserve">la </w:t>
      </w:r>
      <w:proofErr w:type="gramStart"/>
      <w:r>
        <w:rPr>
          <w:rFonts w:cs="Times New Roman"/>
          <w:lang w:val="es-ES"/>
        </w:rPr>
        <w:t>cual</w:t>
      </w:r>
      <w:proofErr w:type="gramEnd"/>
      <w:r>
        <w:rPr>
          <w:rFonts w:cs="Times New Roman"/>
          <w:lang w:val="es-ES"/>
        </w:rPr>
        <w:t xml:space="preserve"> </w:t>
      </w:r>
      <w:r w:rsidR="000850FC">
        <w:rPr>
          <w:rFonts w:cs="Times New Roman"/>
          <w:lang w:val="es-ES"/>
        </w:rPr>
        <w:t xml:space="preserve">aunque tiene características diferentes, </w:t>
      </w:r>
      <w:r w:rsidR="00DE58AF">
        <w:rPr>
          <w:rFonts w:cs="Times New Roman"/>
          <w:lang w:val="es-ES"/>
        </w:rPr>
        <w:t xml:space="preserve">y </w:t>
      </w:r>
      <w:r>
        <w:rPr>
          <w:rFonts w:cs="Times New Roman"/>
          <w:lang w:val="es-ES"/>
        </w:rPr>
        <w:t xml:space="preserve">es </w:t>
      </w:r>
      <w:r w:rsidR="000850FC">
        <w:rPr>
          <w:rFonts w:cs="Times New Roman"/>
          <w:lang w:val="es-ES"/>
        </w:rPr>
        <w:t xml:space="preserve">una alternativa viable no </w:t>
      </w:r>
      <w:r w:rsidR="00DE58AF">
        <w:rPr>
          <w:rFonts w:cs="Times New Roman"/>
          <w:lang w:val="es-ES"/>
        </w:rPr>
        <w:t xml:space="preserve">únicamente </w:t>
      </w:r>
      <w:r w:rsidR="000850FC">
        <w:rPr>
          <w:rFonts w:cs="Times New Roman"/>
          <w:lang w:val="es-ES"/>
        </w:rPr>
        <w:t xml:space="preserve">para quienes opten por programas en línea </w:t>
      </w:r>
      <w:r>
        <w:rPr>
          <w:rFonts w:cs="Times New Roman"/>
          <w:lang w:val="es-ES"/>
        </w:rPr>
        <w:t>—</w:t>
      </w:r>
      <w:r w:rsidR="000850FC">
        <w:rPr>
          <w:rFonts w:cs="Times New Roman"/>
          <w:lang w:val="es-ES"/>
        </w:rPr>
        <w:t>que como se mencionó es una población creciente</w:t>
      </w:r>
      <w:r>
        <w:rPr>
          <w:rFonts w:cs="Times New Roman"/>
          <w:lang w:val="es-ES"/>
        </w:rPr>
        <w:t>—</w:t>
      </w:r>
      <w:r w:rsidR="000850FC">
        <w:rPr>
          <w:rFonts w:cs="Times New Roman"/>
          <w:lang w:val="es-ES"/>
        </w:rPr>
        <w:t xml:space="preserve">, sino </w:t>
      </w:r>
      <w:r>
        <w:rPr>
          <w:rFonts w:cs="Times New Roman"/>
          <w:lang w:val="es-ES"/>
        </w:rPr>
        <w:t xml:space="preserve">también </w:t>
      </w:r>
      <w:r w:rsidR="000850FC">
        <w:rPr>
          <w:rFonts w:cs="Times New Roman"/>
          <w:lang w:val="es-ES"/>
        </w:rPr>
        <w:t xml:space="preserve">para aquellos que por contingencias </w:t>
      </w:r>
      <w:r>
        <w:rPr>
          <w:rFonts w:cs="Times New Roman"/>
          <w:lang w:val="es-ES"/>
        </w:rPr>
        <w:t>imprevistas deban emplearla.</w:t>
      </w:r>
    </w:p>
    <w:p w14:paraId="28510225" w14:textId="45486139" w:rsidR="00BA3551" w:rsidRDefault="00733553" w:rsidP="000850FC">
      <w:pPr>
        <w:ind w:firstLine="708"/>
        <w:rPr>
          <w:rFonts w:cs="Times New Roman"/>
          <w:lang w:val="es-ES"/>
        </w:rPr>
      </w:pPr>
      <w:r>
        <w:t>Por otra parte, l</w:t>
      </w:r>
      <w:r w:rsidR="000850FC" w:rsidRPr="00361D3D">
        <w:t>a investigación est</w:t>
      </w:r>
      <w:r w:rsidR="000850FC">
        <w:t xml:space="preserve">uvo </w:t>
      </w:r>
      <w:r w:rsidR="000850FC" w:rsidRPr="00361D3D">
        <w:t xml:space="preserve">delimitada por las prácticas de docencia en línea </w:t>
      </w:r>
      <w:r w:rsidR="000850FC">
        <w:t>identificadas en</w:t>
      </w:r>
      <w:r w:rsidR="000850FC" w:rsidRPr="00361D3D">
        <w:t xml:space="preserve"> las instituciones </w:t>
      </w:r>
      <w:r>
        <w:t>seleccionadas</w:t>
      </w:r>
      <w:r w:rsidR="00BA3551">
        <w:t xml:space="preserve">, lo </w:t>
      </w:r>
      <w:r w:rsidR="00DE58AF">
        <w:t xml:space="preserve">que </w:t>
      </w:r>
      <w:r w:rsidR="00BA3551">
        <w:t xml:space="preserve">constituye </w:t>
      </w:r>
      <w:r w:rsidR="000850FC" w:rsidRPr="00361D3D">
        <w:t xml:space="preserve">un ejemplo de lo que </w:t>
      </w:r>
      <w:r w:rsidR="00BA3551">
        <w:t>sería</w:t>
      </w:r>
      <w:r w:rsidR="000850FC" w:rsidRPr="00361D3D">
        <w:t xml:space="preserve"> posible encontrar en </w:t>
      </w:r>
      <w:r w:rsidR="00BA3551">
        <w:t>otras universidades</w:t>
      </w:r>
      <w:r w:rsidR="000850FC" w:rsidRPr="00361D3D">
        <w:t xml:space="preserve"> públicas de </w:t>
      </w:r>
      <w:r w:rsidR="000850FC">
        <w:t>México</w:t>
      </w:r>
      <w:r w:rsidR="000850FC" w:rsidRPr="00361D3D">
        <w:t xml:space="preserve">, específicamente </w:t>
      </w:r>
      <w:r w:rsidR="00BA3551">
        <w:t>en</w:t>
      </w:r>
      <w:r w:rsidR="000850FC" w:rsidRPr="00361D3D">
        <w:t xml:space="preserve"> aquellas convencionales que cuentan con una división dedicada a educación en línea. </w:t>
      </w:r>
      <w:r w:rsidR="00BA3551">
        <w:t xml:space="preserve">En otras palabras, es probable </w:t>
      </w:r>
      <w:r w:rsidR="000850FC" w:rsidRPr="00361D3D">
        <w:t xml:space="preserve">que los resultados </w:t>
      </w:r>
      <w:r w:rsidR="00BA3551">
        <w:t xml:space="preserve">enseñados en este trabajo </w:t>
      </w:r>
      <w:r w:rsidR="000850FC" w:rsidRPr="00361D3D">
        <w:t xml:space="preserve">no puedan ser </w:t>
      </w:r>
      <w:r w:rsidR="00BA3551">
        <w:t xml:space="preserve">generalizables para </w:t>
      </w:r>
      <w:r w:rsidR="000850FC" w:rsidRPr="00361D3D">
        <w:t xml:space="preserve">instituciones </w:t>
      </w:r>
      <w:r w:rsidR="00BA3551">
        <w:t xml:space="preserve">con </w:t>
      </w:r>
      <w:r w:rsidR="000850FC" w:rsidRPr="00361D3D">
        <w:t>otro</w:t>
      </w:r>
      <w:r w:rsidR="00BA3551">
        <w:t>s</w:t>
      </w:r>
      <w:r w:rsidR="000850FC" w:rsidRPr="00361D3D">
        <w:t xml:space="preserve"> esquema</w:t>
      </w:r>
      <w:r w:rsidR="00BA3551">
        <w:t>s</w:t>
      </w:r>
      <w:r w:rsidR="000850FC" w:rsidRPr="00361D3D">
        <w:t xml:space="preserve"> de operación</w:t>
      </w:r>
      <w:r w:rsidR="000850FC">
        <w:rPr>
          <w:rFonts w:cs="Times New Roman"/>
          <w:lang w:val="es-ES"/>
        </w:rPr>
        <w:t xml:space="preserve">. </w:t>
      </w:r>
    </w:p>
    <w:p w14:paraId="46CC0B46" w14:textId="43F3733E" w:rsidR="000850FC" w:rsidRDefault="00BA3551" w:rsidP="000850FC">
      <w:pPr>
        <w:ind w:firstLine="708"/>
        <w:rPr>
          <w:rFonts w:cs="Times New Roman"/>
          <w:lang w:val="es-ES"/>
        </w:rPr>
      </w:pPr>
      <w:r>
        <w:rPr>
          <w:rFonts w:cs="Times New Roman"/>
          <w:lang w:val="es-ES"/>
        </w:rPr>
        <w:lastRenderedPageBreak/>
        <w:t xml:space="preserve">Finalmente, una de las principales </w:t>
      </w:r>
      <w:r w:rsidR="000850FC">
        <w:rPr>
          <w:rFonts w:cs="Times New Roman"/>
          <w:lang w:val="es-ES"/>
        </w:rPr>
        <w:t xml:space="preserve">limitantes de </w:t>
      </w:r>
      <w:r>
        <w:rPr>
          <w:rFonts w:cs="Times New Roman"/>
          <w:lang w:val="es-ES"/>
        </w:rPr>
        <w:t>esta</w:t>
      </w:r>
      <w:r w:rsidR="000850FC">
        <w:rPr>
          <w:rFonts w:cs="Times New Roman"/>
          <w:lang w:val="es-ES"/>
        </w:rPr>
        <w:t xml:space="preserve"> investigación</w:t>
      </w:r>
      <w:r>
        <w:rPr>
          <w:rFonts w:cs="Times New Roman"/>
          <w:lang w:val="es-ES"/>
        </w:rPr>
        <w:t xml:space="preserve"> fue</w:t>
      </w:r>
      <w:r w:rsidR="000850FC">
        <w:rPr>
          <w:rFonts w:cs="Times New Roman"/>
          <w:lang w:val="es-ES"/>
        </w:rPr>
        <w:t xml:space="preserve"> la respuesta de los estudiantes, ya que aunque se buscaron mecanismos para motivar </w:t>
      </w:r>
      <w:r>
        <w:rPr>
          <w:rFonts w:cs="Times New Roman"/>
          <w:lang w:val="es-ES"/>
        </w:rPr>
        <w:t>su</w:t>
      </w:r>
      <w:r w:rsidR="000850FC">
        <w:rPr>
          <w:rFonts w:cs="Times New Roman"/>
          <w:lang w:val="es-ES"/>
        </w:rPr>
        <w:t xml:space="preserve"> participación</w:t>
      </w:r>
      <w:r>
        <w:rPr>
          <w:rFonts w:cs="Times New Roman"/>
          <w:lang w:val="es-ES"/>
        </w:rPr>
        <w:t>,</w:t>
      </w:r>
      <w:r w:rsidR="000850FC">
        <w:rPr>
          <w:rFonts w:cs="Times New Roman"/>
          <w:lang w:val="es-ES"/>
        </w:rPr>
        <w:t xml:space="preserve"> fue complicado conseguir más sujetos de estudio</w:t>
      </w:r>
      <w:r>
        <w:rPr>
          <w:rFonts w:cs="Times New Roman"/>
          <w:lang w:val="es-ES"/>
        </w:rPr>
        <w:t>.</w:t>
      </w:r>
      <w:r w:rsidR="000850FC">
        <w:rPr>
          <w:rFonts w:cs="Times New Roman"/>
          <w:lang w:val="es-ES"/>
        </w:rPr>
        <w:t xml:space="preserve"> </w:t>
      </w:r>
      <w:r>
        <w:rPr>
          <w:rFonts w:cs="Times New Roman"/>
          <w:lang w:val="es-ES"/>
        </w:rPr>
        <w:t>E</w:t>
      </w:r>
      <w:r w:rsidR="000850FC">
        <w:rPr>
          <w:rFonts w:cs="Times New Roman"/>
          <w:lang w:val="es-ES"/>
        </w:rPr>
        <w:t xml:space="preserve">l caso más </w:t>
      </w:r>
      <w:r>
        <w:rPr>
          <w:rFonts w:cs="Times New Roman"/>
          <w:lang w:val="es-ES"/>
        </w:rPr>
        <w:t>llamativo</w:t>
      </w:r>
      <w:r w:rsidR="000850FC">
        <w:rPr>
          <w:rFonts w:cs="Times New Roman"/>
          <w:lang w:val="es-ES"/>
        </w:rPr>
        <w:t xml:space="preserve"> </w:t>
      </w:r>
      <w:r>
        <w:rPr>
          <w:rFonts w:cs="Times New Roman"/>
          <w:lang w:val="es-ES"/>
        </w:rPr>
        <w:t>fue el de</w:t>
      </w:r>
      <w:r w:rsidR="000850FC">
        <w:rPr>
          <w:rFonts w:cs="Times New Roman"/>
          <w:lang w:val="es-ES"/>
        </w:rPr>
        <w:t xml:space="preserve"> la UNAM</w:t>
      </w:r>
      <w:r>
        <w:rPr>
          <w:rFonts w:cs="Times New Roman"/>
          <w:lang w:val="es-ES"/>
        </w:rPr>
        <w:t>,</w:t>
      </w:r>
      <w:r w:rsidR="000850FC">
        <w:rPr>
          <w:rFonts w:cs="Times New Roman"/>
          <w:lang w:val="es-ES"/>
        </w:rPr>
        <w:t xml:space="preserve"> que es pionera en educación a distancia en México y tiene varios programas en línea, </w:t>
      </w:r>
      <w:r w:rsidR="00DE58AF">
        <w:rPr>
          <w:rFonts w:cs="Times New Roman"/>
          <w:lang w:val="es-ES"/>
        </w:rPr>
        <w:t xml:space="preserve">sin </w:t>
      </w:r>
      <w:proofErr w:type="gramStart"/>
      <w:r w:rsidR="00DE58AF">
        <w:rPr>
          <w:rFonts w:cs="Times New Roman"/>
          <w:lang w:val="es-ES"/>
        </w:rPr>
        <w:t>embargo</w:t>
      </w:r>
      <w:proofErr w:type="gramEnd"/>
      <w:r w:rsidR="00DE58AF">
        <w:rPr>
          <w:rFonts w:cs="Times New Roman"/>
          <w:lang w:val="es-ES"/>
        </w:rPr>
        <w:t xml:space="preserve"> </w:t>
      </w:r>
      <w:r w:rsidR="000850FC">
        <w:rPr>
          <w:rFonts w:cs="Times New Roman"/>
          <w:lang w:val="es-ES"/>
        </w:rPr>
        <w:t xml:space="preserve">no fue posible conseguir una participación más amplia. </w:t>
      </w:r>
    </w:p>
    <w:p w14:paraId="1CD9615C" w14:textId="77777777" w:rsidR="000850FC" w:rsidRPr="00071C2A" w:rsidRDefault="000850FC" w:rsidP="000850FC">
      <w:pPr>
        <w:rPr>
          <w:rFonts w:cs="Times New Roman"/>
          <w:lang w:val="es-ES"/>
        </w:rPr>
      </w:pPr>
    </w:p>
    <w:p w14:paraId="5A78D399" w14:textId="77777777" w:rsidR="000850FC" w:rsidRPr="002B25C3" w:rsidRDefault="000850FC" w:rsidP="000850FC">
      <w:pPr>
        <w:jc w:val="center"/>
        <w:rPr>
          <w:rFonts w:cs="Times New Roman"/>
          <w:b/>
          <w:sz w:val="32"/>
          <w:szCs w:val="32"/>
          <w:lang w:val="es-ES"/>
        </w:rPr>
      </w:pPr>
      <w:r w:rsidRPr="002B25C3">
        <w:rPr>
          <w:rFonts w:cs="Times New Roman"/>
          <w:b/>
          <w:sz w:val="32"/>
          <w:szCs w:val="32"/>
          <w:lang w:val="es-ES"/>
        </w:rPr>
        <w:t>Conclusiones</w:t>
      </w:r>
      <w:r w:rsidR="00BA3551">
        <w:rPr>
          <w:rFonts w:cs="Times New Roman"/>
          <w:b/>
          <w:sz w:val="32"/>
          <w:szCs w:val="32"/>
          <w:lang w:val="es-ES"/>
        </w:rPr>
        <w:t xml:space="preserve"> </w:t>
      </w:r>
    </w:p>
    <w:p w14:paraId="685A71DE" w14:textId="77777777" w:rsidR="000850FC" w:rsidRDefault="000850FC" w:rsidP="00BA3551">
      <w:pPr>
        <w:ind w:firstLine="708"/>
        <w:rPr>
          <w:rFonts w:cs="Times New Roman"/>
          <w:lang w:val="es-ES"/>
        </w:rPr>
      </w:pPr>
      <w:r>
        <w:rPr>
          <w:rFonts w:cs="Times New Roman"/>
          <w:lang w:val="es-ES"/>
        </w:rPr>
        <w:t>El modelo teórico planteado resultó ser eficaz</w:t>
      </w:r>
      <w:r w:rsidR="00BA3551">
        <w:rPr>
          <w:rFonts w:cs="Times New Roman"/>
          <w:lang w:val="es-ES"/>
        </w:rPr>
        <w:t xml:space="preserve">, pues </w:t>
      </w:r>
      <w:r>
        <w:rPr>
          <w:rFonts w:cs="Times New Roman"/>
          <w:lang w:val="es-ES"/>
        </w:rPr>
        <w:t xml:space="preserve">se cumplió con el objetivo general de determinar las competencias específicas para la docencia en línea y los elementos que las integran a través de las percepciones de los estudiantes de universidades públicas en México, en programas de licenciatura y posgrado. </w:t>
      </w:r>
      <w:r w:rsidR="00BA3551">
        <w:rPr>
          <w:rFonts w:cs="Times New Roman"/>
          <w:lang w:val="es-ES"/>
        </w:rPr>
        <w:t>Aun sí, s</w:t>
      </w:r>
      <w:r>
        <w:rPr>
          <w:rFonts w:cs="Times New Roman"/>
          <w:lang w:val="es-ES"/>
        </w:rPr>
        <w:t xml:space="preserve">e </w:t>
      </w:r>
      <w:r w:rsidR="00BA3551">
        <w:rPr>
          <w:rFonts w:cs="Times New Roman"/>
          <w:lang w:val="es-ES"/>
        </w:rPr>
        <w:t>debe</w:t>
      </w:r>
      <w:r>
        <w:rPr>
          <w:rFonts w:cs="Times New Roman"/>
          <w:lang w:val="es-ES"/>
        </w:rPr>
        <w:t xml:space="preserve"> profundizar </w:t>
      </w:r>
      <w:r w:rsidR="00BA3551">
        <w:rPr>
          <w:rFonts w:cs="Times New Roman"/>
          <w:lang w:val="es-ES"/>
        </w:rPr>
        <w:t>en</w:t>
      </w:r>
      <w:r>
        <w:rPr>
          <w:rFonts w:cs="Times New Roman"/>
          <w:lang w:val="es-ES"/>
        </w:rPr>
        <w:t xml:space="preserve"> la experiencia de aquellos docentes que fueron identificados como altamente competentes</w:t>
      </w:r>
      <w:r w:rsidR="00BA3551">
        <w:rPr>
          <w:rFonts w:cs="Times New Roman"/>
          <w:lang w:val="es-ES"/>
        </w:rPr>
        <w:t>,</w:t>
      </w:r>
      <w:r>
        <w:rPr>
          <w:rFonts w:cs="Times New Roman"/>
          <w:lang w:val="es-ES"/>
        </w:rPr>
        <w:t xml:space="preserve"> </w:t>
      </w:r>
      <w:r w:rsidR="00BA3551">
        <w:rPr>
          <w:rFonts w:cs="Times New Roman"/>
          <w:lang w:val="es-ES"/>
        </w:rPr>
        <w:t>ya que</w:t>
      </w:r>
      <w:r>
        <w:rPr>
          <w:rFonts w:cs="Times New Roman"/>
          <w:lang w:val="es-ES"/>
        </w:rPr>
        <w:t xml:space="preserve"> ayudará a elaborar programas más pertinentes de formación para la docencia en línea. </w:t>
      </w:r>
    </w:p>
    <w:p w14:paraId="70CF30F4" w14:textId="6372E99B" w:rsidR="000850FC" w:rsidRPr="00302C70" w:rsidRDefault="003D351B" w:rsidP="000850FC">
      <w:pPr>
        <w:tabs>
          <w:tab w:val="center" w:pos="5056"/>
        </w:tabs>
        <w:ind w:firstLine="708"/>
        <w:rPr>
          <w:rFonts w:cs="Times New Roman"/>
          <w:lang w:eastAsia="es-ES"/>
        </w:rPr>
      </w:pPr>
      <w:r>
        <w:rPr>
          <w:rFonts w:cs="Times New Roman"/>
          <w:lang w:val="es-ES"/>
        </w:rPr>
        <w:t xml:space="preserve">Por otra parte, se puede concluir que las </w:t>
      </w:r>
      <w:r w:rsidR="000850FC">
        <w:rPr>
          <w:rFonts w:cs="Times New Roman"/>
          <w:lang w:eastAsia="es-ES"/>
        </w:rPr>
        <w:t xml:space="preserve">variables </w:t>
      </w:r>
      <w:r w:rsidR="000850FC" w:rsidRPr="003D351B">
        <w:rPr>
          <w:rFonts w:cs="Times New Roman"/>
          <w:i/>
          <w:lang w:eastAsia="es-ES"/>
        </w:rPr>
        <w:t>institución de procedencia</w:t>
      </w:r>
      <w:r w:rsidR="000850FC">
        <w:rPr>
          <w:rFonts w:cs="Times New Roman"/>
          <w:lang w:eastAsia="es-ES"/>
        </w:rPr>
        <w:t xml:space="preserve">, </w:t>
      </w:r>
      <w:r w:rsidR="000850FC" w:rsidRPr="003D351B">
        <w:rPr>
          <w:rFonts w:cs="Times New Roman"/>
          <w:i/>
          <w:lang w:eastAsia="es-ES"/>
        </w:rPr>
        <w:t>experiencia previa como facilitadores</w:t>
      </w:r>
      <w:r w:rsidR="000850FC">
        <w:rPr>
          <w:rFonts w:cs="Times New Roman"/>
          <w:lang w:eastAsia="es-ES"/>
        </w:rPr>
        <w:t xml:space="preserve"> o </w:t>
      </w:r>
      <w:r w:rsidR="000850FC" w:rsidRPr="003D351B">
        <w:rPr>
          <w:rFonts w:cs="Times New Roman"/>
          <w:i/>
          <w:lang w:eastAsia="es-ES"/>
        </w:rPr>
        <w:t>grado académico</w:t>
      </w:r>
      <w:r w:rsidR="000850FC">
        <w:rPr>
          <w:rFonts w:cs="Times New Roman"/>
          <w:lang w:eastAsia="es-ES"/>
        </w:rPr>
        <w:t xml:space="preserve"> </w:t>
      </w:r>
      <w:r>
        <w:rPr>
          <w:rFonts w:cs="Times New Roman"/>
          <w:lang w:eastAsia="es-ES"/>
        </w:rPr>
        <w:t>de los alumnos de programas educativos en línea no afectan sus</w:t>
      </w:r>
      <w:r w:rsidR="000850FC">
        <w:rPr>
          <w:rFonts w:cs="Times New Roman"/>
          <w:lang w:eastAsia="es-ES"/>
        </w:rPr>
        <w:t xml:space="preserve"> percepciones </w:t>
      </w:r>
      <w:r>
        <w:rPr>
          <w:rFonts w:cs="Times New Roman"/>
          <w:lang w:eastAsia="es-ES"/>
        </w:rPr>
        <w:t xml:space="preserve">sobre </w:t>
      </w:r>
      <w:r w:rsidR="000850FC">
        <w:rPr>
          <w:rFonts w:cs="Times New Roman"/>
          <w:lang w:eastAsia="es-ES"/>
        </w:rPr>
        <w:t xml:space="preserve">la competencia de sus docentes. </w:t>
      </w:r>
      <w:r>
        <w:rPr>
          <w:rFonts w:cs="Times New Roman"/>
          <w:lang w:eastAsia="es-ES"/>
        </w:rPr>
        <w:t>Por tanto, s</w:t>
      </w:r>
      <w:r w:rsidR="000850FC">
        <w:rPr>
          <w:rFonts w:cs="Times New Roman"/>
          <w:lang w:eastAsia="es-ES"/>
        </w:rPr>
        <w:t xml:space="preserve">e puede hablar de un perfil </w:t>
      </w:r>
      <w:r>
        <w:rPr>
          <w:rFonts w:cs="Times New Roman"/>
          <w:lang w:eastAsia="es-ES"/>
        </w:rPr>
        <w:t>homogéneo</w:t>
      </w:r>
      <w:r w:rsidR="000850FC">
        <w:rPr>
          <w:rFonts w:cs="Times New Roman"/>
          <w:lang w:eastAsia="es-ES"/>
        </w:rPr>
        <w:t xml:space="preserve"> y de áreas de oportunidad  importante</w:t>
      </w:r>
      <w:r>
        <w:rPr>
          <w:rFonts w:cs="Times New Roman"/>
          <w:lang w:eastAsia="es-ES"/>
        </w:rPr>
        <w:t>s</w:t>
      </w:r>
      <w:r w:rsidR="000850FC">
        <w:rPr>
          <w:rFonts w:cs="Times New Roman"/>
          <w:lang w:eastAsia="es-ES"/>
        </w:rPr>
        <w:t xml:space="preserve"> para fortalecer los núcleos académico</w:t>
      </w:r>
      <w:r>
        <w:rPr>
          <w:rFonts w:cs="Times New Roman"/>
          <w:lang w:eastAsia="es-ES"/>
        </w:rPr>
        <w:t>s</w:t>
      </w:r>
      <w:r w:rsidR="000850FC">
        <w:rPr>
          <w:rFonts w:cs="Times New Roman"/>
          <w:lang w:eastAsia="es-ES"/>
        </w:rPr>
        <w:t xml:space="preserve"> básicos de </w:t>
      </w:r>
      <w:r w:rsidR="0020102B">
        <w:rPr>
          <w:rFonts w:cs="Times New Roman"/>
          <w:lang w:eastAsia="es-ES"/>
        </w:rPr>
        <w:t xml:space="preserve">esos </w:t>
      </w:r>
      <w:r w:rsidR="000850FC">
        <w:rPr>
          <w:rFonts w:cs="Times New Roman"/>
          <w:lang w:eastAsia="es-ES"/>
        </w:rPr>
        <w:t xml:space="preserve">programas, </w:t>
      </w:r>
      <w:r>
        <w:rPr>
          <w:rFonts w:cs="Times New Roman"/>
          <w:lang w:eastAsia="es-ES"/>
        </w:rPr>
        <w:t xml:space="preserve">lo cual </w:t>
      </w:r>
      <w:r w:rsidR="000850FC">
        <w:rPr>
          <w:rFonts w:cs="Times New Roman"/>
          <w:lang w:eastAsia="es-ES"/>
        </w:rPr>
        <w:t>ayudar</w:t>
      </w:r>
      <w:r>
        <w:rPr>
          <w:rFonts w:cs="Times New Roman"/>
          <w:lang w:eastAsia="es-ES"/>
        </w:rPr>
        <w:t>ía</w:t>
      </w:r>
      <w:r w:rsidR="000850FC">
        <w:rPr>
          <w:rFonts w:cs="Times New Roman"/>
          <w:lang w:eastAsia="es-ES"/>
        </w:rPr>
        <w:t xml:space="preserve"> a disminuir </w:t>
      </w:r>
      <w:r w:rsidR="00EB4E77">
        <w:rPr>
          <w:rFonts w:cs="Times New Roman"/>
          <w:lang w:eastAsia="es-ES"/>
        </w:rPr>
        <w:t>la deserción escolar</w:t>
      </w:r>
      <w:r w:rsidR="000850FC">
        <w:rPr>
          <w:rFonts w:cs="Times New Roman"/>
          <w:lang w:eastAsia="es-ES"/>
        </w:rPr>
        <w:t xml:space="preserve"> que </w:t>
      </w:r>
      <w:r w:rsidR="0020102B">
        <w:rPr>
          <w:rFonts w:cs="Times New Roman"/>
          <w:lang w:eastAsia="es-ES"/>
        </w:rPr>
        <w:t xml:space="preserve">muchos </w:t>
      </w:r>
      <w:r>
        <w:rPr>
          <w:rFonts w:cs="Times New Roman"/>
          <w:lang w:eastAsia="es-ES"/>
        </w:rPr>
        <w:t>presentan</w:t>
      </w:r>
      <w:r w:rsidR="000850FC">
        <w:rPr>
          <w:rFonts w:cs="Times New Roman"/>
          <w:lang w:eastAsia="es-ES"/>
        </w:rPr>
        <w:t xml:space="preserve">. </w:t>
      </w:r>
      <w:r w:rsidR="0020102B">
        <w:rPr>
          <w:rFonts w:cs="Times New Roman"/>
          <w:lang w:eastAsia="es-ES"/>
        </w:rPr>
        <w:t>En tal sentido, s</w:t>
      </w:r>
      <w:r>
        <w:rPr>
          <w:rFonts w:cs="Times New Roman"/>
          <w:lang w:eastAsia="es-ES"/>
        </w:rPr>
        <w:t xml:space="preserve">i bien son múltiples los factores que pueden aumentar </w:t>
      </w:r>
      <w:r w:rsidR="00EB4E77">
        <w:rPr>
          <w:rFonts w:cs="Times New Roman"/>
          <w:lang w:eastAsia="es-ES"/>
        </w:rPr>
        <w:t xml:space="preserve">esta </w:t>
      </w:r>
      <w:r>
        <w:rPr>
          <w:rFonts w:cs="Times New Roman"/>
          <w:lang w:eastAsia="es-ES"/>
        </w:rPr>
        <w:t>deserción</w:t>
      </w:r>
      <w:r w:rsidR="000850FC">
        <w:rPr>
          <w:rFonts w:cs="Times New Roman"/>
          <w:lang w:eastAsia="es-ES"/>
        </w:rPr>
        <w:t xml:space="preserve"> </w:t>
      </w:r>
      <w:r w:rsidR="000850FC">
        <w:rPr>
          <w:rFonts w:cs="Times New Roman"/>
          <w:lang w:eastAsia="es-ES"/>
        </w:rPr>
        <w:fldChar w:fldCharType="begin"/>
      </w:r>
      <w:r w:rsidR="000850FC">
        <w:rPr>
          <w:rFonts w:cs="Times New Roman"/>
          <w:lang w:eastAsia="es-ES"/>
        </w:rPr>
        <w:instrText xml:space="preserve"> ADDIN ZOTERO_ITEM CSL_CITATION {"citationID":"lHZhnqZG","properties":{"formattedCitation":"(OCDE, 2015)","plainCitation":"(OCDE, 2015)","noteIndex":0},"citationItems":[{"id":177,"uris":["http://zotero.org/users/local/tvKJQPKe/items/Z8SCVJFI"],"uri":["http://zotero.org/users/local/tvKJQPKe/items/Z8SCVJFI"],"itemData":{"id":177,"type":"report","collection-title":"Mejores Políticas","language":"Español","title":"Políticas prioritarias para fomentar las habilidades y conocimientos de los mexicanos para la productividad y la innovación","URL":"https://www.oecd.org/mexico/mexico-politicas-prioritarias-para-fomentar-las-habilidades-y-conocimientos-de-los-Mexicanos.pdf","author":[{"family":"OCDE","given":""}],"issued":{"date-parts":[["2015",5]]}}}],"schema":"https://github.com/citation-style-language/schema/raw/master/csl-citation.json"} </w:instrText>
      </w:r>
      <w:r w:rsidR="000850FC">
        <w:rPr>
          <w:rFonts w:cs="Times New Roman"/>
          <w:lang w:eastAsia="es-ES"/>
        </w:rPr>
        <w:fldChar w:fldCharType="separate"/>
      </w:r>
      <w:r w:rsidR="000850FC">
        <w:rPr>
          <w:rFonts w:cs="Times New Roman"/>
          <w:noProof/>
          <w:lang w:eastAsia="es-ES"/>
        </w:rPr>
        <w:t>(OCDE, 2015)</w:t>
      </w:r>
      <w:r w:rsidR="000850FC">
        <w:rPr>
          <w:rFonts w:cs="Times New Roman"/>
          <w:lang w:eastAsia="es-ES"/>
        </w:rPr>
        <w:fldChar w:fldCharType="end"/>
      </w:r>
      <w:r w:rsidR="000850FC">
        <w:rPr>
          <w:rFonts w:cs="Times New Roman"/>
          <w:lang w:eastAsia="es-ES"/>
        </w:rPr>
        <w:t xml:space="preserve">, gran parte de ellos </w:t>
      </w:r>
      <w:r w:rsidR="0020102B">
        <w:rPr>
          <w:rFonts w:cs="Times New Roman"/>
          <w:lang w:eastAsia="es-ES"/>
        </w:rPr>
        <w:t xml:space="preserve">pueden ser atendidos por </w:t>
      </w:r>
      <w:r w:rsidR="000850FC">
        <w:rPr>
          <w:rFonts w:cs="Times New Roman"/>
          <w:lang w:eastAsia="es-ES"/>
        </w:rPr>
        <w:t>la institución</w:t>
      </w:r>
      <w:r w:rsidR="0020102B">
        <w:rPr>
          <w:rFonts w:cs="Times New Roman"/>
          <w:lang w:eastAsia="es-ES"/>
        </w:rPr>
        <w:t xml:space="preserve">, </w:t>
      </w:r>
      <w:r w:rsidR="00EB4E77">
        <w:rPr>
          <w:rFonts w:cs="Times New Roman"/>
          <w:lang w:eastAsia="es-ES"/>
        </w:rPr>
        <w:t>al formar</w:t>
      </w:r>
      <w:r w:rsidR="000850FC">
        <w:rPr>
          <w:rFonts w:cs="Times New Roman"/>
          <w:lang w:eastAsia="es-ES"/>
        </w:rPr>
        <w:t xml:space="preserve"> núcleos académicos con las competencias adecuadas para atender las necesidades de los estudiantes en esta modalidad.  </w:t>
      </w:r>
    </w:p>
    <w:p w14:paraId="579602A4" w14:textId="77777777" w:rsidR="000850FC" w:rsidRDefault="000850FC" w:rsidP="000850FC">
      <w:pPr>
        <w:ind w:firstLine="708"/>
        <w:rPr>
          <w:rFonts w:cs="Times New Roman"/>
        </w:rPr>
      </w:pPr>
      <w:r>
        <w:rPr>
          <w:rFonts w:cs="Times New Roman"/>
          <w:lang w:val="es-ES"/>
        </w:rPr>
        <w:t xml:space="preserve">Respecto al objetivo de reconocer </w:t>
      </w:r>
      <w:r w:rsidR="0020102B" w:rsidRPr="00071C2A">
        <w:rPr>
          <w:rFonts w:cs="Times New Roman"/>
          <w:lang w:eastAsia="es-ES"/>
        </w:rPr>
        <w:t>aspectos</w:t>
      </w:r>
      <w:r w:rsidRPr="00071C2A">
        <w:rPr>
          <w:rFonts w:cs="Times New Roman"/>
          <w:lang w:eastAsia="es-ES"/>
        </w:rPr>
        <w:t xml:space="preserve"> críticos que los estudiantes consideran para </w:t>
      </w:r>
      <w:r>
        <w:rPr>
          <w:rFonts w:cs="Times New Roman"/>
          <w:lang w:eastAsia="es-ES"/>
        </w:rPr>
        <w:t>identificar</w:t>
      </w:r>
      <w:r w:rsidRPr="00071C2A">
        <w:rPr>
          <w:rFonts w:cs="Times New Roman"/>
          <w:lang w:eastAsia="es-ES"/>
        </w:rPr>
        <w:t xml:space="preserve"> a un docente como de alto nivel de competencia, </w:t>
      </w:r>
      <w:r>
        <w:rPr>
          <w:rFonts w:cs="Times New Roman"/>
          <w:lang w:eastAsia="es-ES"/>
        </w:rPr>
        <w:t xml:space="preserve">se pudo observar con claridad que los aspectos pedagógicos, sociales, administrativos y tecnológicos no </w:t>
      </w:r>
      <w:r w:rsidR="0020102B">
        <w:rPr>
          <w:rFonts w:cs="Times New Roman"/>
          <w:lang w:eastAsia="es-ES"/>
        </w:rPr>
        <w:t>constituyen</w:t>
      </w:r>
      <w:r>
        <w:rPr>
          <w:rFonts w:cs="Times New Roman"/>
          <w:lang w:eastAsia="es-ES"/>
        </w:rPr>
        <w:t xml:space="preserve"> un problema para los estudiantes </w:t>
      </w:r>
      <w:r w:rsidR="0020102B">
        <w:rPr>
          <w:rFonts w:cs="Times New Roman"/>
          <w:lang w:eastAsia="es-ES"/>
        </w:rPr>
        <w:t>—</w:t>
      </w:r>
      <w:r>
        <w:rPr>
          <w:rFonts w:cs="Times New Roman"/>
          <w:lang w:eastAsia="es-ES"/>
        </w:rPr>
        <w:t>como pudiera pensarse</w:t>
      </w:r>
      <w:r w:rsidR="0020102B">
        <w:rPr>
          <w:rFonts w:cs="Times New Roman"/>
          <w:lang w:eastAsia="es-ES"/>
        </w:rPr>
        <w:t>—</w:t>
      </w:r>
      <w:r>
        <w:rPr>
          <w:rFonts w:cs="Times New Roman"/>
          <w:lang w:eastAsia="es-ES"/>
        </w:rPr>
        <w:t>, pues la tecnología y la dinámica que se requiere</w:t>
      </w:r>
      <w:r w:rsidR="0020102B">
        <w:rPr>
          <w:rFonts w:cs="Times New Roman"/>
          <w:lang w:eastAsia="es-ES"/>
        </w:rPr>
        <w:t>n</w:t>
      </w:r>
      <w:r>
        <w:rPr>
          <w:rFonts w:cs="Times New Roman"/>
          <w:lang w:eastAsia="es-ES"/>
        </w:rPr>
        <w:t xml:space="preserve"> para estudiar en línea son </w:t>
      </w:r>
      <w:r w:rsidR="0020102B">
        <w:rPr>
          <w:rFonts w:cs="Times New Roman"/>
          <w:lang w:eastAsia="es-ES"/>
        </w:rPr>
        <w:t>obstáculos</w:t>
      </w:r>
      <w:r>
        <w:rPr>
          <w:rFonts w:cs="Times New Roman"/>
          <w:lang w:eastAsia="es-ES"/>
        </w:rPr>
        <w:t xml:space="preserve"> que se resuelven con relativa facilidad</w:t>
      </w:r>
      <w:r w:rsidR="0020102B">
        <w:rPr>
          <w:rFonts w:cs="Times New Roman"/>
          <w:lang w:eastAsia="es-ES"/>
        </w:rPr>
        <w:t xml:space="preserve">. Sin embargo, el elemento </w:t>
      </w:r>
      <w:r w:rsidRPr="0020102B">
        <w:rPr>
          <w:rFonts w:cs="Times New Roman"/>
          <w:i/>
          <w:lang w:eastAsia="es-ES"/>
        </w:rPr>
        <w:t>evaluación</w:t>
      </w:r>
      <w:r w:rsidR="0020102B">
        <w:rPr>
          <w:rFonts w:cs="Times New Roman"/>
          <w:lang w:eastAsia="es-ES"/>
        </w:rPr>
        <w:t xml:space="preserve"> sí constituye un aspecto </w:t>
      </w:r>
      <w:r>
        <w:rPr>
          <w:rFonts w:cs="Times New Roman"/>
          <w:lang w:eastAsia="es-ES"/>
        </w:rPr>
        <w:t>crítico</w:t>
      </w:r>
      <w:r w:rsidR="0020102B">
        <w:rPr>
          <w:rFonts w:cs="Times New Roman"/>
          <w:lang w:eastAsia="es-ES"/>
        </w:rPr>
        <w:t xml:space="preserve"> que demanda especial atención.</w:t>
      </w:r>
    </w:p>
    <w:p w14:paraId="30F02D1D" w14:textId="77777777" w:rsidR="000850FC" w:rsidRDefault="000850FC" w:rsidP="000850FC">
      <w:pPr>
        <w:ind w:firstLine="708"/>
        <w:rPr>
          <w:rFonts w:cs="Times New Roman"/>
          <w:lang w:eastAsia="es-ES"/>
        </w:rPr>
      </w:pPr>
      <w:r>
        <w:rPr>
          <w:rFonts w:cs="Times New Roman"/>
          <w:lang w:eastAsia="es-ES"/>
        </w:rPr>
        <w:t>La hipótesis de que el</w:t>
      </w:r>
      <w:r w:rsidRPr="00071C2A">
        <w:rPr>
          <w:rFonts w:cs="Times New Roman"/>
          <w:lang w:eastAsia="es-ES"/>
        </w:rPr>
        <w:t xml:space="preserve"> modelo de competencias específicas para la docencia en línea en universidades públicas de México debe considerar el desarrollo de competencias pedagógicas, sociales, administrativas, tecnológicas y evaluativas</w:t>
      </w:r>
      <w:r>
        <w:rPr>
          <w:rFonts w:cs="Times New Roman"/>
          <w:lang w:eastAsia="es-ES"/>
        </w:rPr>
        <w:t xml:space="preserve"> se aceptó</w:t>
      </w:r>
      <w:r w:rsidR="0020102B">
        <w:rPr>
          <w:rFonts w:cs="Times New Roman"/>
          <w:lang w:eastAsia="es-ES"/>
        </w:rPr>
        <w:t>,</w:t>
      </w:r>
      <w:r>
        <w:rPr>
          <w:rFonts w:cs="Times New Roman"/>
          <w:lang w:eastAsia="es-ES"/>
        </w:rPr>
        <w:t xml:space="preserve"> pero se considera un área de conocimiento que debe seguirse trabajando</w:t>
      </w:r>
      <w:r w:rsidR="0020102B">
        <w:rPr>
          <w:rFonts w:cs="Times New Roman"/>
          <w:lang w:eastAsia="es-ES"/>
        </w:rPr>
        <w:t>,</w:t>
      </w:r>
      <w:r>
        <w:rPr>
          <w:rFonts w:cs="Times New Roman"/>
          <w:lang w:eastAsia="es-ES"/>
        </w:rPr>
        <w:t xml:space="preserve"> pues las condiciones cambian, así como las necesidades del país. </w:t>
      </w:r>
    </w:p>
    <w:p w14:paraId="08FF7BB8" w14:textId="77777777" w:rsidR="000850FC" w:rsidRDefault="00207C58" w:rsidP="000850FC">
      <w:pPr>
        <w:ind w:firstLine="708"/>
      </w:pPr>
      <w:r>
        <w:rPr>
          <w:rFonts w:cs="Times New Roman"/>
          <w:lang w:eastAsia="es-ES"/>
        </w:rPr>
        <w:lastRenderedPageBreak/>
        <w:t>E</w:t>
      </w:r>
      <w:r w:rsidR="0020102B">
        <w:rPr>
          <w:rFonts w:cs="Times New Roman"/>
          <w:lang w:eastAsia="es-ES"/>
        </w:rPr>
        <w:t xml:space="preserve">n cuanto a la segunda hipótesis, se puede señalar que la institución no influye en la percepción de los alumnos, </w:t>
      </w:r>
      <w:r w:rsidR="000850FC">
        <w:rPr>
          <w:rFonts w:cs="Times New Roman"/>
          <w:lang w:eastAsia="es-ES"/>
        </w:rPr>
        <w:t>por lo que</w:t>
      </w:r>
      <w:r w:rsidR="000850FC">
        <w:t xml:space="preserve"> se puede hablar de un perfil </w:t>
      </w:r>
      <w:r>
        <w:t xml:space="preserve">homogéneo </w:t>
      </w:r>
      <w:r w:rsidR="000850FC">
        <w:t xml:space="preserve">de competencias específicas en universidades públicas de México. </w:t>
      </w:r>
      <w:r>
        <w:t>Aun así, e</w:t>
      </w:r>
      <w:r w:rsidR="000850FC">
        <w:t xml:space="preserve">studios sobre estas mismas competencias en universidades privadas </w:t>
      </w:r>
      <w:r>
        <w:t xml:space="preserve">del país </w:t>
      </w:r>
      <w:r w:rsidR="000850FC">
        <w:t xml:space="preserve">o </w:t>
      </w:r>
      <w:r>
        <w:t>d</w:t>
      </w:r>
      <w:r w:rsidR="000850FC">
        <w:t xml:space="preserve">el extranjero aportarían ideas interesantes sobre convergencias o divergencias en el área de estudio. </w:t>
      </w:r>
    </w:p>
    <w:p w14:paraId="4C39EE93" w14:textId="77777777" w:rsidR="000850FC" w:rsidRDefault="00207C58" w:rsidP="000850FC">
      <w:pPr>
        <w:ind w:firstLine="708"/>
      </w:pPr>
      <w:r>
        <w:rPr>
          <w:rFonts w:cs="Times New Roman"/>
          <w:lang w:eastAsia="es-ES"/>
        </w:rPr>
        <w:t>Por otra parte, e</w:t>
      </w:r>
      <w:r w:rsidR="000850FC">
        <w:rPr>
          <w:rFonts w:cs="Times New Roman"/>
          <w:lang w:eastAsia="es-ES"/>
        </w:rPr>
        <w:t>l rechazo a la tercera y cuarta hipótesis permitieron inferir que el grado académico o la experiencia previa como docentes en línea no infiere en las percepciones de los estudiantes, es decir</w:t>
      </w:r>
      <w:r>
        <w:rPr>
          <w:rFonts w:cs="Times New Roman"/>
          <w:lang w:eastAsia="es-ES"/>
        </w:rPr>
        <w:t>,</w:t>
      </w:r>
      <w:r w:rsidR="000850FC">
        <w:rPr>
          <w:rFonts w:cs="Times New Roman"/>
          <w:lang w:eastAsia="es-ES"/>
        </w:rPr>
        <w:t xml:space="preserve"> no genera ninguna empatía especial que haga sobrevalorar el desempeño de sus docentes, lo que permite </w:t>
      </w:r>
      <w:r>
        <w:rPr>
          <w:rFonts w:cs="Times New Roman"/>
          <w:lang w:eastAsia="es-ES"/>
        </w:rPr>
        <w:t>destacar</w:t>
      </w:r>
      <w:r w:rsidR="000850FC">
        <w:rPr>
          <w:rFonts w:cs="Times New Roman"/>
          <w:lang w:eastAsia="es-ES"/>
        </w:rPr>
        <w:t xml:space="preserve"> una evaluación imparcial.</w:t>
      </w:r>
    </w:p>
    <w:p w14:paraId="65826819" w14:textId="77777777" w:rsidR="000850FC" w:rsidRDefault="00207C58" w:rsidP="000850FC">
      <w:pPr>
        <w:ind w:firstLine="708"/>
      </w:pPr>
      <w:r>
        <w:t xml:space="preserve">Finalmente, se destaca </w:t>
      </w:r>
      <w:r w:rsidR="000850FC">
        <w:t xml:space="preserve">que </w:t>
      </w:r>
      <w:r>
        <w:t xml:space="preserve">los estudiantes consideran a </w:t>
      </w:r>
      <w:r w:rsidR="000850FC">
        <w:t>la educación en línea como un servicio de calidad</w:t>
      </w:r>
      <w:r>
        <w:t xml:space="preserve">, lo que ofrece una </w:t>
      </w:r>
      <w:r w:rsidR="000850FC">
        <w:t xml:space="preserve">oportunidad </w:t>
      </w:r>
      <w:r>
        <w:t xml:space="preserve">para convertirla en </w:t>
      </w:r>
      <w:r w:rsidR="000850FC">
        <w:t xml:space="preserve">una alternativa real, viable y confiable para el logro de </w:t>
      </w:r>
      <w:r>
        <w:t>los</w:t>
      </w:r>
      <w:r w:rsidR="000850FC">
        <w:t xml:space="preserve"> objetivos de formación y crecimiento.</w:t>
      </w:r>
    </w:p>
    <w:p w14:paraId="56E07A19" w14:textId="77777777" w:rsidR="000850FC" w:rsidRDefault="000850FC" w:rsidP="000850FC">
      <w:pPr>
        <w:ind w:firstLine="708"/>
      </w:pPr>
    </w:p>
    <w:p w14:paraId="7CB8E3F3" w14:textId="77777777" w:rsidR="000850FC" w:rsidRPr="00382E4B" w:rsidRDefault="000850FC" w:rsidP="000850FC">
      <w:pPr>
        <w:ind w:firstLine="708"/>
        <w:jc w:val="center"/>
        <w:rPr>
          <w:b/>
          <w:sz w:val="28"/>
          <w:szCs w:val="28"/>
        </w:rPr>
      </w:pPr>
      <w:r w:rsidRPr="00382E4B">
        <w:rPr>
          <w:b/>
          <w:sz w:val="28"/>
          <w:szCs w:val="28"/>
        </w:rPr>
        <w:t>Futuras líneas de investigación</w:t>
      </w:r>
    </w:p>
    <w:p w14:paraId="5C0DDD6F" w14:textId="77777777" w:rsidR="000850FC" w:rsidRDefault="000850FC" w:rsidP="000850FC">
      <w:pPr>
        <w:ind w:firstLine="708"/>
      </w:pPr>
      <w:r>
        <w:t>Es clara la importancia que la educación en línea ha tomado en el país y en el mundo</w:t>
      </w:r>
      <w:r w:rsidR="00207C58">
        <w:t>;</w:t>
      </w:r>
      <w:r>
        <w:t xml:space="preserve"> por ello</w:t>
      </w:r>
      <w:r w:rsidR="00207C58">
        <w:t>,</w:t>
      </w:r>
      <w:r>
        <w:t xml:space="preserve"> es necesario que los docentes que incursionan en esta modalidad se enfoquen en adquirir las competencias necesarias para facilitar el proceso de aprendizaje. Se sugiere</w:t>
      </w:r>
      <w:r w:rsidR="00207C58">
        <w:t>,</w:t>
      </w:r>
      <w:r>
        <w:t xml:space="preserve"> por tanto, que en </w:t>
      </w:r>
      <w:r w:rsidR="00207C58">
        <w:t>indagaciones</w:t>
      </w:r>
      <w:r>
        <w:t xml:space="preserve"> futuras se aplique un marco de competencias como el propuesto en esta investigación para identificar fortalezas y áreas de oportunidad. </w:t>
      </w:r>
      <w:r w:rsidR="00207C58">
        <w:t>Asimismo, s</w:t>
      </w:r>
      <w:r>
        <w:t xml:space="preserve">e </w:t>
      </w:r>
      <w:r w:rsidR="00207C58">
        <w:t>necesitan</w:t>
      </w:r>
      <w:r>
        <w:t xml:space="preserve"> más </w:t>
      </w:r>
      <w:r w:rsidR="00207C58">
        <w:t>trabajos</w:t>
      </w:r>
      <w:r>
        <w:t xml:space="preserve"> de corte cualitativo para explorar las implicaciones de cada competencia mencionada en esta investigación y recuperar las experiencias y saberes de quienes han desempeñado esta función para </w:t>
      </w:r>
      <w:r w:rsidR="00207C58">
        <w:t>asentar</w:t>
      </w:r>
      <w:r>
        <w:t xml:space="preserve"> bases más sólidas </w:t>
      </w:r>
      <w:r w:rsidR="00207C58">
        <w:t xml:space="preserve">que permitan consolidar </w:t>
      </w:r>
      <w:r>
        <w:t xml:space="preserve">esta modalidad en el panorama nacional. </w:t>
      </w:r>
    </w:p>
    <w:p w14:paraId="1AF4C46B" w14:textId="082BF370" w:rsidR="000850FC" w:rsidRDefault="000850FC" w:rsidP="000850FC">
      <w:pPr>
        <w:widowControl w:val="0"/>
        <w:autoSpaceDE w:val="0"/>
        <w:autoSpaceDN w:val="0"/>
        <w:adjustRightInd w:val="0"/>
      </w:pPr>
    </w:p>
    <w:p w14:paraId="1926BDC5" w14:textId="7E4AFD3D" w:rsidR="00727258" w:rsidRDefault="00727258" w:rsidP="000850FC">
      <w:pPr>
        <w:widowControl w:val="0"/>
        <w:autoSpaceDE w:val="0"/>
        <w:autoSpaceDN w:val="0"/>
        <w:adjustRightInd w:val="0"/>
      </w:pPr>
    </w:p>
    <w:p w14:paraId="1DE202BA" w14:textId="028F4CE6" w:rsidR="00727258" w:rsidRDefault="00727258" w:rsidP="000850FC">
      <w:pPr>
        <w:widowControl w:val="0"/>
        <w:autoSpaceDE w:val="0"/>
        <w:autoSpaceDN w:val="0"/>
        <w:adjustRightInd w:val="0"/>
      </w:pPr>
    </w:p>
    <w:p w14:paraId="4E85D74A" w14:textId="7FA11383" w:rsidR="00727258" w:rsidRDefault="00727258" w:rsidP="000850FC">
      <w:pPr>
        <w:widowControl w:val="0"/>
        <w:autoSpaceDE w:val="0"/>
        <w:autoSpaceDN w:val="0"/>
        <w:adjustRightInd w:val="0"/>
      </w:pPr>
    </w:p>
    <w:p w14:paraId="6176936E" w14:textId="1D02D322" w:rsidR="00727258" w:rsidRDefault="00727258" w:rsidP="000850FC">
      <w:pPr>
        <w:widowControl w:val="0"/>
        <w:autoSpaceDE w:val="0"/>
        <w:autoSpaceDN w:val="0"/>
        <w:adjustRightInd w:val="0"/>
      </w:pPr>
    </w:p>
    <w:p w14:paraId="106A6F9C" w14:textId="5E48663F" w:rsidR="00727258" w:rsidRDefault="00727258" w:rsidP="000850FC">
      <w:pPr>
        <w:widowControl w:val="0"/>
        <w:autoSpaceDE w:val="0"/>
        <w:autoSpaceDN w:val="0"/>
        <w:adjustRightInd w:val="0"/>
      </w:pPr>
    </w:p>
    <w:p w14:paraId="1A877008" w14:textId="58E1A105" w:rsidR="00727258" w:rsidRDefault="00727258" w:rsidP="000850FC">
      <w:pPr>
        <w:widowControl w:val="0"/>
        <w:autoSpaceDE w:val="0"/>
        <w:autoSpaceDN w:val="0"/>
        <w:adjustRightInd w:val="0"/>
      </w:pPr>
    </w:p>
    <w:p w14:paraId="62EB2CE8" w14:textId="7326B64A" w:rsidR="00727258" w:rsidRDefault="00727258" w:rsidP="000850FC">
      <w:pPr>
        <w:widowControl w:val="0"/>
        <w:autoSpaceDE w:val="0"/>
        <w:autoSpaceDN w:val="0"/>
        <w:adjustRightInd w:val="0"/>
      </w:pPr>
    </w:p>
    <w:p w14:paraId="2F2C384F" w14:textId="4E78F941" w:rsidR="00727258" w:rsidRDefault="00727258" w:rsidP="000850FC">
      <w:pPr>
        <w:widowControl w:val="0"/>
        <w:autoSpaceDE w:val="0"/>
        <w:autoSpaceDN w:val="0"/>
        <w:adjustRightInd w:val="0"/>
      </w:pPr>
    </w:p>
    <w:p w14:paraId="11FF0231" w14:textId="77777777" w:rsidR="00727258" w:rsidRDefault="00727258" w:rsidP="000850FC">
      <w:pPr>
        <w:widowControl w:val="0"/>
        <w:autoSpaceDE w:val="0"/>
        <w:autoSpaceDN w:val="0"/>
        <w:adjustRightInd w:val="0"/>
      </w:pPr>
    </w:p>
    <w:p w14:paraId="3B1FEF39" w14:textId="77777777" w:rsidR="000850FC" w:rsidRPr="00CF71FB" w:rsidRDefault="000850FC" w:rsidP="00CF71FB">
      <w:pPr>
        <w:rPr>
          <w:rFonts w:asciiTheme="minorHAnsi" w:hAnsiTheme="minorHAnsi" w:cstheme="minorHAnsi"/>
          <w:b/>
          <w:sz w:val="28"/>
          <w:szCs w:val="28"/>
          <w:lang w:val="es-ES"/>
        </w:rPr>
      </w:pPr>
      <w:r w:rsidRPr="00CF71FB">
        <w:rPr>
          <w:rFonts w:asciiTheme="minorHAnsi" w:hAnsiTheme="minorHAnsi" w:cstheme="minorHAnsi"/>
          <w:b/>
          <w:sz w:val="28"/>
          <w:szCs w:val="28"/>
          <w:lang w:val="es-ES"/>
        </w:rPr>
        <w:lastRenderedPageBreak/>
        <w:t xml:space="preserve">Referencias </w:t>
      </w:r>
    </w:p>
    <w:p w14:paraId="532939F1" w14:textId="4B2BAD73" w:rsidR="00666C3C" w:rsidRPr="00EB4E77" w:rsidRDefault="00666C3C" w:rsidP="00CF71FB">
      <w:pPr>
        <w:widowControl w:val="0"/>
        <w:autoSpaceDE w:val="0"/>
        <w:autoSpaceDN w:val="0"/>
        <w:adjustRightInd w:val="0"/>
        <w:ind w:left="709" w:hanging="709"/>
        <w:rPr>
          <w:rFonts w:cs="Times New Roman"/>
        </w:rPr>
      </w:pPr>
      <w:r w:rsidRPr="00EB4E77">
        <w:rPr>
          <w:rFonts w:cs="Times New Roman"/>
          <w:lang w:val="es-ES_tradnl"/>
        </w:rPr>
        <w:t xml:space="preserve">Ávila, H. L. (2006). </w:t>
      </w:r>
      <w:r w:rsidRPr="00EB4E77">
        <w:rPr>
          <w:rFonts w:cs="Times New Roman"/>
          <w:i/>
          <w:iCs/>
          <w:lang w:val="es-ES_tradnl"/>
        </w:rPr>
        <w:t>Introducción a la metodología de la investigación electrónica</w:t>
      </w:r>
      <w:r w:rsidRPr="00EB4E77">
        <w:rPr>
          <w:rFonts w:cs="Times New Roman"/>
          <w:lang w:val="es-ES_tradnl"/>
        </w:rPr>
        <w:t xml:space="preserve">. </w:t>
      </w:r>
      <w:proofErr w:type="spellStart"/>
      <w:r w:rsidR="00713F80" w:rsidRPr="00EB4E77">
        <w:rPr>
          <w:rFonts w:cs="Times New Roman"/>
          <w:lang w:val="es-ES_tradnl"/>
        </w:rPr>
        <w:t>Eumed</w:t>
      </w:r>
      <w:proofErr w:type="spellEnd"/>
      <w:r w:rsidR="00713F80" w:rsidRPr="00EB4E77">
        <w:rPr>
          <w:rFonts w:cs="Times New Roman"/>
          <w:lang w:val="es-ES_tradnl"/>
        </w:rPr>
        <w:t xml:space="preserve">. </w:t>
      </w:r>
      <w:r w:rsidRPr="00EB4E77">
        <w:rPr>
          <w:rFonts w:cs="Times New Roman"/>
        </w:rPr>
        <w:t xml:space="preserve">Recuperado de  https://clea.edu.mx/biblioteca/INTRODUCCION%20A%20LA%20METODOLOGIA%20DE%20LA%20INVESTIGACION.pdf </w:t>
      </w:r>
    </w:p>
    <w:p w14:paraId="6FA0C364" w14:textId="44CF0294"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n-US"/>
        </w:rPr>
        <w:t xml:space="preserve">Berge, Z. (1995). </w:t>
      </w:r>
      <w:r w:rsidRPr="00EB4E77">
        <w:rPr>
          <w:rFonts w:cs="Times New Roman"/>
          <w:iCs/>
          <w:lang w:val="en-US"/>
        </w:rPr>
        <w:t>The Role of the Online Instructor/Facilitator</w:t>
      </w:r>
      <w:r w:rsidRPr="00EB4E77">
        <w:rPr>
          <w:rFonts w:cs="Times New Roman"/>
          <w:lang w:val="en-US"/>
        </w:rPr>
        <w:t xml:space="preserve">. </w:t>
      </w:r>
      <w:r w:rsidR="00713F80" w:rsidRPr="00EB4E77">
        <w:rPr>
          <w:rFonts w:cs="Times New Roman"/>
          <w:i/>
          <w:lang w:val="en-US"/>
        </w:rPr>
        <w:t>Educational Technology</w:t>
      </w:r>
      <w:r w:rsidR="00713F80" w:rsidRPr="00EB4E77">
        <w:rPr>
          <w:rFonts w:cs="Times New Roman"/>
          <w:lang w:val="en-US"/>
        </w:rPr>
        <w:t xml:space="preserve">, </w:t>
      </w:r>
      <w:r w:rsidR="00713F80" w:rsidRPr="00EB4E77">
        <w:rPr>
          <w:rFonts w:cs="Times New Roman"/>
          <w:i/>
          <w:lang w:val="en-US"/>
        </w:rPr>
        <w:t>35</w:t>
      </w:r>
      <w:r w:rsidR="00713F80" w:rsidRPr="00EB4E77">
        <w:rPr>
          <w:rFonts w:cs="Times New Roman"/>
          <w:lang w:val="en-US"/>
        </w:rPr>
        <w:t xml:space="preserve">(1) 22-30. </w:t>
      </w:r>
      <w:r w:rsidRPr="00EB4E77">
        <w:rPr>
          <w:rFonts w:cs="Times New Roman"/>
          <w:lang w:val="en-US"/>
        </w:rPr>
        <w:t xml:space="preserve">Retrieved from http://www.cordonline.net/mntutorial2/module_2/Reading%202-1%20instructor%20role.pdf </w:t>
      </w:r>
    </w:p>
    <w:p w14:paraId="0574C24D" w14:textId="00C521B0"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Campos Céspedes, J., Brenes Matarrita, O. L. y Solano Castro, A. (2011). Competencias del docente de educación superior en línea. </w:t>
      </w:r>
      <w:r w:rsidRPr="00EB4E77">
        <w:rPr>
          <w:rFonts w:cs="Times New Roman"/>
          <w:i/>
          <w:iCs/>
          <w:lang w:val="es-ES_tradnl"/>
        </w:rPr>
        <w:t>Actualidades Investigativas en Educación</w:t>
      </w:r>
      <w:r w:rsidRPr="00EB4E77">
        <w:rPr>
          <w:rFonts w:cs="Times New Roman"/>
          <w:lang w:val="es-ES_tradnl"/>
        </w:rPr>
        <w:t xml:space="preserve">, </w:t>
      </w:r>
      <w:r w:rsidRPr="00EB4E77">
        <w:rPr>
          <w:rFonts w:cs="Times New Roman"/>
          <w:i/>
          <w:iCs/>
          <w:lang w:val="es-ES_tradnl"/>
        </w:rPr>
        <w:t>10</w:t>
      </w:r>
      <w:r w:rsidRPr="00EB4E77">
        <w:rPr>
          <w:rFonts w:cs="Times New Roman"/>
          <w:lang w:val="es-ES_tradnl"/>
        </w:rPr>
        <w:t xml:space="preserve">(3). </w:t>
      </w:r>
      <w:proofErr w:type="spellStart"/>
      <w:r w:rsidRPr="00EB4E77">
        <w:rPr>
          <w:rFonts w:cs="Times New Roman"/>
          <w:lang w:val="es-ES_tradnl"/>
        </w:rPr>
        <w:t>Doi</w:t>
      </w:r>
      <w:proofErr w:type="spellEnd"/>
      <w:r w:rsidRPr="00EB4E77">
        <w:rPr>
          <w:rFonts w:cs="Times New Roman"/>
          <w:lang w:val="es-ES_tradnl"/>
        </w:rPr>
        <w:t xml:space="preserve">: https://doi.org/10.15517/aie.v10i3.10141 </w:t>
      </w:r>
    </w:p>
    <w:p w14:paraId="6B4EB7E5" w14:textId="056D44E7"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Castañeda, L., Esteve, F. y Adell, J. (2018). ¿Por qué es necesario repensar la competencia docente para el mundo digital? </w:t>
      </w:r>
      <w:r w:rsidRPr="00EB4E77">
        <w:rPr>
          <w:rFonts w:cs="Times New Roman"/>
          <w:i/>
          <w:iCs/>
          <w:lang w:val="es-ES_tradnl"/>
        </w:rPr>
        <w:t>Revista de Educación a Distancia (RED)</w:t>
      </w:r>
      <w:r w:rsidRPr="00EB4E77">
        <w:rPr>
          <w:rFonts w:cs="Times New Roman"/>
          <w:lang w:val="es-ES_tradnl"/>
        </w:rPr>
        <w:t xml:space="preserve">, </w:t>
      </w:r>
      <w:r w:rsidR="00713F80" w:rsidRPr="00EB4E77">
        <w:rPr>
          <w:rFonts w:cs="Times New Roman"/>
          <w:lang w:val="es-ES_tradnl"/>
        </w:rPr>
        <w:t>(</w:t>
      </w:r>
      <w:r w:rsidRPr="00EB4E77">
        <w:rPr>
          <w:rFonts w:cs="Times New Roman"/>
          <w:iCs/>
          <w:lang w:val="es-ES_tradnl"/>
        </w:rPr>
        <w:t>56</w:t>
      </w:r>
      <w:r w:rsidR="00713F80" w:rsidRPr="00EB4E77">
        <w:rPr>
          <w:rFonts w:cs="Times New Roman"/>
          <w:lang w:val="es-ES_tradnl"/>
        </w:rPr>
        <w:t>)</w:t>
      </w:r>
      <w:r w:rsidRPr="00EB4E77">
        <w:rPr>
          <w:rFonts w:cs="Times New Roman"/>
          <w:lang w:val="es-ES_tradnl"/>
        </w:rPr>
        <w:t xml:space="preserve">. Recuperado de https://revistas.um.es/red/article/view/321581 </w:t>
      </w:r>
    </w:p>
    <w:p w14:paraId="45F1C7AC" w14:textId="2DFE5685" w:rsidR="00666C3C" w:rsidRPr="00EB4E77" w:rsidRDefault="00666C3C" w:rsidP="00CF71FB">
      <w:pPr>
        <w:widowControl w:val="0"/>
        <w:autoSpaceDE w:val="0"/>
        <w:autoSpaceDN w:val="0"/>
        <w:adjustRightInd w:val="0"/>
        <w:ind w:left="709" w:hanging="709"/>
        <w:rPr>
          <w:rFonts w:cs="Times New Roman"/>
          <w:lang w:val="en-US"/>
        </w:rPr>
      </w:pPr>
      <w:proofErr w:type="spellStart"/>
      <w:r w:rsidRPr="00EB4E77">
        <w:rPr>
          <w:rFonts w:cs="Times New Roman"/>
          <w:lang w:val="en-US"/>
        </w:rPr>
        <w:t>Chok</w:t>
      </w:r>
      <w:proofErr w:type="spellEnd"/>
      <w:r w:rsidRPr="00EB4E77">
        <w:rPr>
          <w:rFonts w:cs="Times New Roman"/>
          <w:lang w:val="en-US"/>
        </w:rPr>
        <w:t xml:space="preserve">, N. S. (2010). </w:t>
      </w:r>
      <w:r w:rsidRPr="00EB4E77">
        <w:rPr>
          <w:rFonts w:cs="Times New Roman"/>
          <w:i/>
          <w:iCs/>
          <w:lang w:val="en-US"/>
        </w:rPr>
        <w:t>Pearson’s Versus Spearman’s and Kendall’s Correlation Coefficients for Continuous Data</w:t>
      </w:r>
      <w:r w:rsidRPr="00EB4E77">
        <w:rPr>
          <w:rFonts w:cs="Times New Roman"/>
          <w:lang w:val="en-US"/>
        </w:rPr>
        <w:t xml:space="preserve"> [University of Pittsburgh ETD]. University of Pittsburgh.</w:t>
      </w:r>
      <w:r w:rsidRPr="00EB4E77">
        <w:rPr>
          <w:lang w:val="en-US"/>
        </w:rPr>
        <w:t xml:space="preserve"> Retrieved from</w:t>
      </w:r>
      <w:r w:rsidRPr="00EB4E77">
        <w:rPr>
          <w:rFonts w:cs="Times New Roman"/>
          <w:lang w:val="en-US"/>
        </w:rPr>
        <w:t xml:space="preserve"> http://d-scholarship.pitt.edu/8056/ </w:t>
      </w:r>
    </w:p>
    <w:p w14:paraId="6785F882" w14:textId="5F1A66DE"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n-US"/>
        </w:rPr>
        <w:t xml:space="preserve">DiPietro, M., </w:t>
      </w:r>
      <w:proofErr w:type="spellStart"/>
      <w:r w:rsidRPr="00EB4E77">
        <w:rPr>
          <w:rFonts w:cs="Times New Roman"/>
          <w:lang w:val="en-US"/>
        </w:rPr>
        <w:t>Ferdig</w:t>
      </w:r>
      <w:proofErr w:type="spellEnd"/>
      <w:r w:rsidRPr="00EB4E77">
        <w:rPr>
          <w:rFonts w:cs="Times New Roman"/>
          <w:lang w:val="en-US"/>
        </w:rPr>
        <w:t xml:space="preserve">, R. E., Black, E. W. and Presto, M. (2010). Best Practices in Teaching K-12 Online: Lessons Learned from Michigan Virtual School Teachers. </w:t>
      </w:r>
      <w:r w:rsidRPr="00EB4E77">
        <w:rPr>
          <w:rFonts w:cs="Times New Roman"/>
          <w:i/>
          <w:iCs/>
          <w:lang w:val="en-US"/>
        </w:rPr>
        <w:t>Journal of Interactive Online Learning</w:t>
      </w:r>
      <w:r w:rsidRPr="00EB4E77">
        <w:rPr>
          <w:rFonts w:cs="Times New Roman"/>
          <w:lang w:val="en-US"/>
        </w:rPr>
        <w:t xml:space="preserve">, </w:t>
      </w:r>
      <w:r w:rsidRPr="00EB4E77">
        <w:rPr>
          <w:rFonts w:cs="Times New Roman"/>
          <w:i/>
          <w:iCs/>
          <w:lang w:val="en-US"/>
        </w:rPr>
        <w:t>9</w:t>
      </w:r>
      <w:r w:rsidRPr="00EB4E77">
        <w:rPr>
          <w:rFonts w:cs="Times New Roman"/>
          <w:iCs/>
          <w:lang w:val="en-US"/>
        </w:rPr>
        <w:t>(3)</w:t>
      </w:r>
      <w:r w:rsidRPr="00EB4E77">
        <w:rPr>
          <w:rFonts w:cs="Times New Roman"/>
          <w:lang w:val="en-US"/>
        </w:rPr>
        <w:t xml:space="preserve">, 10–35. Retrieved from https://oaks.kent.edu/ldespubs/20 </w:t>
      </w:r>
    </w:p>
    <w:p w14:paraId="199B8A11" w14:textId="77777777"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Domínguez González, N. (2012). </w:t>
      </w:r>
      <w:r w:rsidRPr="00EB4E77">
        <w:rPr>
          <w:rFonts w:cs="Times New Roman"/>
          <w:i/>
          <w:iCs/>
          <w:lang w:val="es-ES_tradnl"/>
        </w:rPr>
        <w:t>Competencias para la docencia en línea, ECOESAD, México</w:t>
      </w:r>
      <w:r w:rsidRPr="00EB4E77">
        <w:rPr>
          <w:rFonts w:cs="Times New Roman"/>
          <w:lang w:val="es-ES_tradnl"/>
        </w:rPr>
        <w:t xml:space="preserve"> [tesis doctoral]. Universidad Da Vinci.</w:t>
      </w:r>
    </w:p>
    <w:p w14:paraId="7F0C64CC" w14:textId="176D9CCD"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Domínguez González, N. y Pérez Domínguez, E. A. (2021). </w:t>
      </w:r>
      <w:r w:rsidRPr="00EB4E77">
        <w:rPr>
          <w:rFonts w:cs="Times New Roman"/>
          <w:i/>
          <w:iCs/>
          <w:lang w:val="es-ES_tradnl"/>
        </w:rPr>
        <w:t>Competencias para la docencia en línea</w:t>
      </w:r>
      <w:r w:rsidRPr="00EB4E77">
        <w:rPr>
          <w:rFonts w:cs="Times New Roman"/>
          <w:lang w:val="es-ES_tradnl"/>
        </w:rPr>
        <w:t xml:space="preserve">. </w:t>
      </w:r>
      <w:r w:rsidRPr="00EB4E77">
        <w:t>Recuperado de</w:t>
      </w:r>
      <w:r w:rsidRPr="00EB4E77">
        <w:rPr>
          <w:rFonts w:cs="Times New Roman"/>
          <w:lang w:val="es-ES_tradnl"/>
        </w:rPr>
        <w:t xml:space="preserve"> https://www.uv.mx/personal/nadominguez/files/2021/04/Competencias-para-la-docencia-en-línea.jpeg </w:t>
      </w:r>
    </w:p>
    <w:p w14:paraId="1983CFE9" w14:textId="1FD5854F"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s-ES_tradnl"/>
        </w:rPr>
        <w:t xml:space="preserve">Domínguez-González, N., Limón, O. H. and Limón, C. H. (2010). </w:t>
      </w:r>
      <w:r w:rsidRPr="00EB4E77">
        <w:rPr>
          <w:rFonts w:cs="Times New Roman"/>
          <w:lang w:val="en-US"/>
        </w:rPr>
        <w:t xml:space="preserve">Competencies needed in online teaching in Mexico. </w:t>
      </w:r>
      <w:r w:rsidRPr="00EB4E77">
        <w:rPr>
          <w:rFonts w:cs="Times New Roman"/>
          <w:i/>
          <w:iCs/>
          <w:lang w:val="en-US"/>
        </w:rPr>
        <w:t>Proceedings of the ICERI 2010 Conference</w:t>
      </w:r>
      <w:r w:rsidRPr="00EB4E77">
        <w:rPr>
          <w:rFonts w:cs="Times New Roman"/>
          <w:lang w:val="en-US"/>
        </w:rPr>
        <w:t xml:space="preserve">. Retrieved from https://scholar.google.com/scholar?hl=es&amp;as_sdt=0%2C5&amp;q=competencies+for+online+teaching+in+mexico+2010%2Bgonzalez&amp;btnG= </w:t>
      </w:r>
    </w:p>
    <w:p w14:paraId="70CBE366" w14:textId="73CEC4D6" w:rsidR="00666C3C" w:rsidRPr="00EB4E77" w:rsidRDefault="00666C3C" w:rsidP="00CF71FB">
      <w:pPr>
        <w:widowControl w:val="0"/>
        <w:autoSpaceDE w:val="0"/>
        <w:autoSpaceDN w:val="0"/>
        <w:adjustRightInd w:val="0"/>
        <w:ind w:left="709" w:hanging="709"/>
        <w:rPr>
          <w:rFonts w:cs="Times New Roman"/>
          <w:lang w:val="es-ES_tradnl"/>
        </w:rPr>
      </w:pPr>
      <w:proofErr w:type="spellStart"/>
      <w:r w:rsidRPr="00EB4E77">
        <w:rPr>
          <w:rFonts w:cs="Times New Roman"/>
          <w:lang w:val="es-ES_tradnl"/>
        </w:rPr>
        <w:t>Fernandes</w:t>
      </w:r>
      <w:proofErr w:type="spellEnd"/>
      <w:r w:rsidRPr="00EB4E77">
        <w:rPr>
          <w:rFonts w:cs="Times New Roman"/>
          <w:lang w:val="es-ES_tradnl"/>
        </w:rPr>
        <w:t xml:space="preserve">, D. J., </w:t>
      </w:r>
      <w:proofErr w:type="spellStart"/>
      <w:r w:rsidRPr="00EB4E77">
        <w:rPr>
          <w:rFonts w:cs="Times New Roman"/>
          <w:lang w:val="es-ES_tradnl"/>
        </w:rPr>
        <w:t>Sotolongo</w:t>
      </w:r>
      <w:proofErr w:type="spellEnd"/>
      <w:r w:rsidRPr="00EB4E77">
        <w:rPr>
          <w:rFonts w:cs="Times New Roman"/>
          <w:lang w:val="es-ES_tradnl"/>
        </w:rPr>
        <w:t xml:space="preserve">, M. y Martínez, C. C. (2016). La evaluación del desempeño por competencias: percepciones de docentes y estudiantes en la educación superior. </w:t>
      </w:r>
      <w:r w:rsidRPr="00EB4E77">
        <w:rPr>
          <w:rFonts w:cs="Times New Roman"/>
          <w:i/>
          <w:iCs/>
          <w:lang w:val="es-ES_tradnl"/>
        </w:rPr>
        <w:t xml:space="preserve">Formación </w:t>
      </w:r>
      <w:r w:rsidRPr="00EB4E77">
        <w:rPr>
          <w:rFonts w:cs="Times New Roman"/>
          <w:i/>
          <w:iCs/>
          <w:lang w:val="es-ES_tradnl"/>
        </w:rPr>
        <w:lastRenderedPageBreak/>
        <w:t>Universitaria</w:t>
      </w:r>
      <w:r w:rsidRPr="00EB4E77">
        <w:rPr>
          <w:rFonts w:cs="Times New Roman"/>
          <w:lang w:val="es-ES_tradnl"/>
        </w:rPr>
        <w:t xml:space="preserve">, </w:t>
      </w:r>
      <w:r w:rsidRPr="00EB4E77">
        <w:rPr>
          <w:rFonts w:cs="Times New Roman"/>
          <w:i/>
          <w:iCs/>
          <w:lang w:val="es-ES_tradnl"/>
        </w:rPr>
        <w:t>9</w:t>
      </w:r>
      <w:r w:rsidRPr="00EB4E77">
        <w:rPr>
          <w:rFonts w:cs="Times New Roman"/>
          <w:lang w:val="es-ES_tradnl"/>
        </w:rPr>
        <w:t xml:space="preserve">(5), 15–24. </w:t>
      </w:r>
      <w:proofErr w:type="spellStart"/>
      <w:r w:rsidRPr="00EB4E77">
        <w:rPr>
          <w:rFonts w:cs="Times New Roman"/>
          <w:lang w:val="es-ES_tradnl"/>
        </w:rPr>
        <w:t>Doi</w:t>
      </w:r>
      <w:proofErr w:type="spellEnd"/>
      <w:r w:rsidRPr="00EB4E77">
        <w:rPr>
          <w:rFonts w:cs="Times New Roman"/>
          <w:lang w:val="es-ES_tradnl"/>
        </w:rPr>
        <w:t xml:space="preserve">: https://doi.org/10.4067/S0718-50062016000500003 </w:t>
      </w:r>
    </w:p>
    <w:p w14:paraId="58DFC460" w14:textId="77777777"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García, B., </w:t>
      </w:r>
      <w:r w:rsidR="00713F80" w:rsidRPr="00EB4E77">
        <w:rPr>
          <w:rFonts w:cs="Times New Roman"/>
          <w:lang w:val="es-ES_tradnl"/>
        </w:rPr>
        <w:t>Luna Serrano, E</w:t>
      </w:r>
      <w:r w:rsidRPr="00EB4E77">
        <w:rPr>
          <w:rFonts w:cs="Times New Roman"/>
          <w:lang w:val="es-ES_tradnl"/>
        </w:rPr>
        <w:t xml:space="preserve">., </w:t>
      </w:r>
      <w:r w:rsidR="00713F80" w:rsidRPr="00EB4E77">
        <w:rPr>
          <w:rFonts w:cs="Times New Roman"/>
          <w:lang w:val="es-ES_tradnl"/>
        </w:rPr>
        <w:t xml:space="preserve">Ponce </w:t>
      </w:r>
      <w:r w:rsidRPr="00EB4E77">
        <w:rPr>
          <w:rFonts w:cs="Times New Roman"/>
          <w:lang w:val="es-ES_tradnl"/>
        </w:rPr>
        <w:t>Ceballos, S. P., Cisneros-</w:t>
      </w:r>
      <w:proofErr w:type="spellStart"/>
      <w:r w:rsidRPr="00EB4E77">
        <w:rPr>
          <w:rFonts w:cs="Times New Roman"/>
          <w:lang w:val="es-ES_tradnl"/>
        </w:rPr>
        <w:t>Cohernour</w:t>
      </w:r>
      <w:proofErr w:type="spellEnd"/>
      <w:r w:rsidRPr="00EB4E77">
        <w:rPr>
          <w:rFonts w:cs="Times New Roman"/>
          <w:lang w:val="es-ES_tradnl"/>
        </w:rPr>
        <w:t xml:space="preserve">, E. J., </w:t>
      </w:r>
      <w:r w:rsidR="00713F80" w:rsidRPr="00EB4E77">
        <w:rPr>
          <w:rFonts w:cs="Times New Roman"/>
          <w:lang w:val="es-ES_tradnl"/>
        </w:rPr>
        <w:t>Cordero Arroyo, G. y</w:t>
      </w:r>
      <w:r w:rsidRPr="00EB4E77">
        <w:rPr>
          <w:rFonts w:cs="Times New Roman"/>
          <w:lang w:val="es-ES_tradnl"/>
        </w:rPr>
        <w:t xml:space="preserve"> </w:t>
      </w:r>
      <w:r w:rsidR="00713F80" w:rsidRPr="00EB4E77">
        <w:rPr>
          <w:rFonts w:cs="Times New Roman"/>
          <w:lang w:val="es-ES_tradnl"/>
        </w:rPr>
        <w:t>Espinoza Díaz, Y.</w:t>
      </w:r>
      <w:r w:rsidRPr="00EB4E77">
        <w:rPr>
          <w:rFonts w:cs="Times New Roman"/>
          <w:lang w:val="es-ES_tradnl"/>
        </w:rPr>
        <w:t xml:space="preserve"> (2018). Las competencias docentes en entornos virtuales: un modelo para su evaluación. </w:t>
      </w:r>
      <w:r w:rsidRPr="00EB4E77">
        <w:rPr>
          <w:rFonts w:cs="Times New Roman"/>
          <w:i/>
          <w:iCs/>
          <w:lang w:val="es-ES_tradnl"/>
        </w:rPr>
        <w:t>RIED. Revista Iberoamericana de Educación a Distancia</w:t>
      </w:r>
      <w:r w:rsidR="00713F80" w:rsidRPr="00EB4E77">
        <w:rPr>
          <w:rFonts w:cs="Times New Roman"/>
          <w:lang w:val="es-ES_tradnl"/>
        </w:rPr>
        <w:t xml:space="preserve">, </w:t>
      </w:r>
      <w:r w:rsidR="00713F80" w:rsidRPr="00EB4E77">
        <w:rPr>
          <w:rFonts w:cs="Times New Roman"/>
          <w:i/>
          <w:lang w:val="es-ES_tradnl"/>
        </w:rPr>
        <w:t>21</w:t>
      </w:r>
      <w:r w:rsidR="00713F80" w:rsidRPr="00EB4E77">
        <w:rPr>
          <w:rFonts w:cs="Times New Roman"/>
          <w:lang w:val="es-ES_tradnl"/>
        </w:rPr>
        <w:t>(1)</w:t>
      </w:r>
      <w:r w:rsidRPr="00EB4E77">
        <w:rPr>
          <w:rFonts w:cs="Times New Roman"/>
          <w:lang w:val="es-ES_tradnl"/>
        </w:rPr>
        <w:t>.</w:t>
      </w:r>
    </w:p>
    <w:p w14:paraId="1B7D8EB0" w14:textId="77777777"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Gómez, L. del C. (2005). </w:t>
      </w:r>
      <w:r w:rsidRPr="00EB4E77">
        <w:rPr>
          <w:rFonts w:cs="Times New Roman"/>
          <w:i/>
          <w:iCs/>
          <w:lang w:val="en-US"/>
        </w:rPr>
        <w:t>Seven principles of good teaching practice: Predictors of perceived learning and satisfaction with online courses</w:t>
      </w:r>
      <w:r w:rsidRPr="00EB4E77">
        <w:rPr>
          <w:rFonts w:cs="Times New Roman"/>
          <w:lang w:val="en-US"/>
        </w:rPr>
        <w:t xml:space="preserve">. </w:t>
      </w:r>
      <w:proofErr w:type="spellStart"/>
      <w:r w:rsidRPr="00EB4E77">
        <w:rPr>
          <w:rFonts w:cs="Times New Roman"/>
          <w:lang w:val="es-ES_tradnl"/>
        </w:rPr>
        <w:t>The</w:t>
      </w:r>
      <w:proofErr w:type="spellEnd"/>
      <w:r w:rsidRPr="00EB4E77">
        <w:rPr>
          <w:rFonts w:cs="Times New Roman"/>
          <w:lang w:val="es-ES_tradnl"/>
        </w:rPr>
        <w:t xml:space="preserve"> </w:t>
      </w:r>
      <w:proofErr w:type="spellStart"/>
      <w:r w:rsidRPr="00EB4E77">
        <w:rPr>
          <w:rFonts w:cs="Times New Roman"/>
          <w:lang w:val="es-ES_tradnl"/>
        </w:rPr>
        <w:t>University</w:t>
      </w:r>
      <w:proofErr w:type="spellEnd"/>
      <w:r w:rsidRPr="00EB4E77">
        <w:rPr>
          <w:rFonts w:cs="Times New Roman"/>
          <w:lang w:val="es-ES_tradnl"/>
        </w:rPr>
        <w:t xml:space="preserve"> </w:t>
      </w:r>
      <w:proofErr w:type="spellStart"/>
      <w:r w:rsidRPr="00EB4E77">
        <w:rPr>
          <w:rFonts w:cs="Times New Roman"/>
          <w:lang w:val="es-ES_tradnl"/>
        </w:rPr>
        <w:t>of</w:t>
      </w:r>
      <w:proofErr w:type="spellEnd"/>
      <w:r w:rsidRPr="00EB4E77">
        <w:rPr>
          <w:rFonts w:cs="Times New Roman"/>
          <w:lang w:val="es-ES_tradnl"/>
        </w:rPr>
        <w:t xml:space="preserve"> Nebraska-Lincoln.</w:t>
      </w:r>
    </w:p>
    <w:p w14:paraId="3AD7BA6C" w14:textId="7A1C925A" w:rsidR="00666C3C" w:rsidRPr="00EB4E77" w:rsidRDefault="00666C3C" w:rsidP="00CF71FB">
      <w:pPr>
        <w:widowControl w:val="0"/>
        <w:autoSpaceDE w:val="0"/>
        <w:autoSpaceDN w:val="0"/>
        <w:adjustRightInd w:val="0"/>
        <w:ind w:left="709" w:hanging="709"/>
        <w:rPr>
          <w:rFonts w:cs="Times New Roman"/>
          <w:lang w:val="es-ES_tradnl"/>
        </w:rPr>
      </w:pPr>
      <w:proofErr w:type="spellStart"/>
      <w:r w:rsidRPr="00EB4E77">
        <w:rPr>
          <w:rFonts w:cs="Times New Roman"/>
          <w:lang w:val="es-ES_tradnl"/>
        </w:rPr>
        <w:t>Greenacre</w:t>
      </w:r>
      <w:proofErr w:type="spellEnd"/>
      <w:r w:rsidRPr="00EB4E77">
        <w:rPr>
          <w:rFonts w:cs="Times New Roman"/>
          <w:lang w:val="es-ES_tradnl"/>
        </w:rPr>
        <w:t xml:space="preserve">, M. J. (2008). </w:t>
      </w:r>
      <w:r w:rsidRPr="00EB4E77">
        <w:rPr>
          <w:rFonts w:cs="Times New Roman"/>
          <w:i/>
          <w:iCs/>
          <w:lang w:val="es-ES_tradnl"/>
        </w:rPr>
        <w:t>La práctica del análisis de correspondencias</w:t>
      </w:r>
      <w:r w:rsidRPr="00EB4E77">
        <w:rPr>
          <w:rFonts w:cs="Times New Roman"/>
          <w:lang w:val="es-ES_tradnl"/>
        </w:rPr>
        <w:t>. Fundación BBVA.</w:t>
      </w:r>
      <w:r w:rsidRPr="00EB4E77">
        <w:t xml:space="preserve"> Recuperado de </w:t>
      </w:r>
      <w:r w:rsidRPr="00EB4E77">
        <w:rPr>
          <w:rFonts w:cs="Times New Roman"/>
          <w:lang w:val="es-ES_tradnl"/>
        </w:rPr>
        <w:t xml:space="preserve"> https://web.archive.org/web/20100325141907/http://www.fbbva.es/TLFU/tlfu/esp/publicaciones/libros/fichalibro/index.jsp?codigo=300 </w:t>
      </w:r>
    </w:p>
    <w:p w14:paraId="01179BD4" w14:textId="77777777"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n-US"/>
        </w:rPr>
        <w:t xml:space="preserve">Huda, M., </w:t>
      </w:r>
      <w:proofErr w:type="spellStart"/>
      <w:r w:rsidRPr="00EB4E77">
        <w:rPr>
          <w:rFonts w:cs="Times New Roman"/>
          <w:lang w:val="en-US"/>
        </w:rPr>
        <w:t>Maseleno</w:t>
      </w:r>
      <w:proofErr w:type="spellEnd"/>
      <w:r w:rsidRPr="00EB4E77">
        <w:rPr>
          <w:rFonts w:cs="Times New Roman"/>
          <w:lang w:val="en-US"/>
        </w:rPr>
        <w:t xml:space="preserve">, A., </w:t>
      </w:r>
      <w:proofErr w:type="spellStart"/>
      <w:r w:rsidRPr="00EB4E77">
        <w:rPr>
          <w:rFonts w:cs="Times New Roman"/>
          <w:lang w:val="en-US"/>
        </w:rPr>
        <w:t>Shahrill</w:t>
      </w:r>
      <w:proofErr w:type="spellEnd"/>
      <w:r w:rsidRPr="00EB4E77">
        <w:rPr>
          <w:rFonts w:cs="Times New Roman"/>
          <w:lang w:val="en-US"/>
        </w:rPr>
        <w:t xml:space="preserve">, M., </w:t>
      </w:r>
      <w:proofErr w:type="spellStart"/>
      <w:r w:rsidRPr="00EB4E77">
        <w:rPr>
          <w:rFonts w:cs="Times New Roman"/>
          <w:lang w:val="en-US"/>
        </w:rPr>
        <w:t>Jasmi</w:t>
      </w:r>
      <w:proofErr w:type="spellEnd"/>
      <w:r w:rsidRPr="00EB4E77">
        <w:rPr>
          <w:rFonts w:cs="Times New Roman"/>
          <w:lang w:val="en-US"/>
        </w:rPr>
        <w:t xml:space="preserve">, K. A., </w:t>
      </w:r>
      <w:proofErr w:type="spellStart"/>
      <w:r w:rsidRPr="00EB4E77">
        <w:rPr>
          <w:rFonts w:cs="Times New Roman"/>
          <w:lang w:val="en-US"/>
        </w:rPr>
        <w:t>Mustari</w:t>
      </w:r>
      <w:proofErr w:type="spellEnd"/>
      <w:r w:rsidRPr="00EB4E77">
        <w:rPr>
          <w:rFonts w:cs="Times New Roman"/>
          <w:lang w:val="en-US"/>
        </w:rPr>
        <w:t xml:space="preserve">, I. and </w:t>
      </w:r>
      <w:proofErr w:type="spellStart"/>
      <w:r w:rsidRPr="00EB4E77">
        <w:rPr>
          <w:rFonts w:cs="Times New Roman"/>
          <w:lang w:val="en-US"/>
        </w:rPr>
        <w:t>Basiron</w:t>
      </w:r>
      <w:proofErr w:type="spellEnd"/>
      <w:r w:rsidRPr="00EB4E77">
        <w:rPr>
          <w:rFonts w:cs="Times New Roman"/>
          <w:lang w:val="en-US"/>
        </w:rPr>
        <w:t xml:space="preserve">, B. (2017). Exploring adaptive teaching competencies in big data era. </w:t>
      </w:r>
      <w:r w:rsidRPr="00EB4E77">
        <w:rPr>
          <w:rFonts w:cs="Times New Roman"/>
          <w:i/>
          <w:iCs/>
          <w:lang w:val="en-US"/>
        </w:rPr>
        <w:t>International Journal of Emerging Technologies in Learning (</w:t>
      </w:r>
      <w:proofErr w:type="spellStart"/>
      <w:r w:rsidRPr="00EB4E77">
        <w:rPr>
          <w:rFonts w:cs="Times New Roman"/>
          <w:i/>
          <w:iCs/>
          <w:lang w:val="en-US"/>
        </w:rPr>
        <w:t>iJET</w:t>
      </w:r>
      <w:proofErr w:type="spellEnd"/>
      <w:r w:rsidRPr="00EB4E77">
        <w:rPr>
          <w:rFonts w:cs="Times New Roman"/>
          <w:i/>
          <w:iCs/>
          <w:lang w:val="en-US"/>
        </w:rPr>
        <w:t>)</w:t>
      </w:r>
      <w:r w:rsidRPr="00EB4E77">
        <w:rPr>
          <w:rFonts w:cs="Times New Roman"/>
          <w:lang w:val="en-US"/>
        </w:rPr>
        <w:t xml:space="preserve">, </w:t>
      </w:r>
      <w:r w:rsidRPr="00EB4E77">
        <w:rPr>
          <w:rFonts w:cs="Times New Roman"/>
          <w:i/>
          <w:iCs/>
          <w:lang w:val="en-US"/>
        </w:rPr>
        <w:t>12</w:t>
      </w:r>
      <w:r w:rsidRPr="00EB4E77">
        <w:rPr>
          <w:rFonts w:cs="Times New Roman"/>
          <w:iCs/>
          <w:lang w:val="en-US"/>
        </w:rPr>
        <w:t>(3)</w:t>
      </w:r>
      <w:r w:rsidRPr="00EB4E77">
        <w:rPr>
          <w:rFonts w:cs="Times New Roman"/>
          <w:lang w:val="en-US"/>
        </w:rPr>
        <w:t>, 68–83.</w:t>
      </w:r>
    </w:p>
    <w:p w14:paraId="01C1B849" w14:textId="47132706"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rPr>
        <w:t>Instituto Nacional de Estadística Geografía e Informática [Inegi]</w:t>
      </w:r>
      <w:r w:rsidRPr="00EB4E77">
        <w:rPr>
          <w:rFonts w:cs="Times New Roman"/>
          <w:lang w:val="es-ES_tradnl"/>
        </w:rPr>
        <w:t xml:space="preserve"> (2019). </w:t>
      </w:r>
      <w:r w:rsidRPr="00EB4E77">
        <w:rPr>
          <w:rFonts w:cs="Times New Roman"/>
          <w:i/>
          <w:iCs/>
          <w:lang w:val="es-ES_tradnl"/>
        </w:rPr>
        <w:t>Tabulador—Ocupación</w:t>
      </w:r>
      <w:r w:rsidRPr="00EB4E77">
        <w:rPr>
          <w:rFonts w:cs="Times New Roman"/>
          <w:lang w:val="es-ES_tradnl"/>
        </w:rPr>
        <w:t xml:space="preserve"> [</w:t>
      </w:r>
      <w:proofErr w:type="spellStart"/>
      <w:r w:rsidRPr="00EB4E77">
        <w:rPr>
          <w:rFonts w:cs="Times New Roman"/>
          <w:lang w:val="es-ES_tradnl"/>
        </w:rPr>
        <w:t>I</w:t>
      </w:r>
      <w:r w:rsidR="008877D4" w:rsidRPr="00EB4E77">
        <w:rPr>
          <w:rFonts w:cs="Times New Roman"/>
          <w:lang w:val="es-ES_tradnl"/>
        </w:rPr>
        <w:t>negi</w:t>
      </w:r>
      <w:proofErr w:type="spellEnd"/>
      <w:r w:rsidRPr="00EB4E77">
        <w:rPr>
          <w:rFonts w:cs="Times New Roman"/>
          <w:lang w:val="es-ES_tradnl"/>
        </w:rPr>
        <w:t xml:space="preserve">]. Ocupación, Población de 15 años y más según condición de actividad y disponibilidad nacional trimestral. Recuperado de https://www.inegi.org.mx/app/tabulados/default.html?nc=603 </w:t>
      </w:r>
    </w:p>
    <w:p w14:paraId="7FC778B2" w14:textId="06637958"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s-ES_tradnl"/>
        </w:rPr>
        <w:t xml:space="preserve">Jasso López, C. (2013). Percepción de inseguridad en México. </w:t>
      </w:r>
      <w:r w:rsidRPr="00EB4E77">
        <w:rPr>
          <w:rFonts w:cs="Times New Roman"/>
          <w:i/>
          <w:iCs/>
          <w:lang w:val="es-ES_tradnl"/>
        </w:rPr>
        <w:t>Revista Mexicana de Opinión Pública</w:t>
      </w:r>
      <w:r w:rsidRPr="00EB4E77">
        <w:rPr>
          <w:rFonts w:cs="Times New Roman"/>
          <w:lang w:val="es-ES_tradnl"/>
        </w:rPr>
        <w:t xml:space="preserve">, </w:t>
      </w:r>
      <w:r w:rsidRPr="00EB4E77">
        <w:rPr>
          <w:rFonts w:cs="Times New Roman"/>
          <w:i/>
          <w:iCs/>
          <w:lang w:val="es-ES_tradnl"/>
        </w:rPr>
        <w:t>15(29)</w:t>
      </w:r>
      <w:r w:rsidRPr="00EB4E77">
        <w:rPr>
          <w:rFonts w:cs="Times New Roman"/>
          <w:lang w:val="es-ES_tradnl"/>
        </w:rPr>
        <w:t xml:space="preserve">, 12-29. </w:t>
      </w:r>
      <w:r w:rsidRPr="00EB4E77">
        <w:rPr>
          <w:rFonts w:cs="Times New Roman"/>
          <w:lang w:val="en-US"/>
        </w:rPr>
        <w:t xml:space="preserve">Doi: https://doi.org/10.1016/S1870-7300(13)72319-6 </w:t>
      </w:r>
    </w:p>
    <w:p w14:paraId="226E4880" w14:textId="0544CEFF" w:rsidR="00666C3C" w:rsidRPr="00EB4E77" w:rsidRDefault="00666C3C" w:rsidP="00CF71FB">
      <w:pPr>
        <w:widowControl w:val="0"/>
        <w:autoSpaceDE w:val="0"/>
        <w:autoSpaceDN w:val="0"/>
        <w:adjustRightInd w:val="0"/>
        <w:ind w:left="709" w:hanging="709"/>
        <w:rPr>
          <w:rFonts w:cs="Times New Roman"/>
          <w:lang w:val="en-US"/>
        </w:rPr>
      </w:pPr>
      <w:proofErr w:type="spellStart"/>
      <w:r w:rsidRPr="00EB4E77">
        <w:rPr>
          <w:rFonts w:cs="Times New Roman"/>
          <w:lang w:val="en-US"/>
        </w:rPr>
        <w:t>Kaendler</w:t>
      </w:r>
      <w:proofErr w:type="spellEnd"/>
      <w:r w:rsidRPr="00EB4E77">
        <w:rPr>
          <w:rFonts w:cs="Times New Roman"/>
          <w:lang w:val="en-US"/>
        </w:rPr>
        <w:t xml:space="preserve">, C., </w:t>
      </w:r>
      <w:proofErr w:type="spellStart"/>
      <w:r w:rsidRPr="00EB4E77">
        <w:rPr>
          <w:rFonts w:cs="Times New Roman"/>
          <w:lang w:val="en-US"/>
        </w:rPr>
        <w:t>Wiedmann</w:t>
      </w:r>
      <w:proofErr w:type="spellEnd"/>
      <w:r w:rsidRPr="00EB4E77">
        <w:rPr>
          <w:rFonts w:cs="Times New Roman"/>
          <w:lang w:val="en-US"/>
        </w:rPr>
        <w:t xml:space="preserve">, M., </w:t>
      </w:r>
      <w:proofErr w:type="spellStart"/>
      <w:r w:rsidRPr="00EB4E77">
        <w:rPr>
          <w:rFonts w:cs="Times New Roman"/>
          <w:lang w:val="en-US"/>
        </w:rPr>
        <w:t>Rummel</w:t>
      </w:r>
      <w:proofErr w:type="spellEnd"/>
      <w:r w:rsidRPr="00EB4E77">
        <w:rPr>
          <w:rFonts w:cs="Times New Roman"/>
          <w:lang w:val="en-US"/>
        </w:rPr>
        <w:t xml:space="preserve">, N. and Spada, H. (2015). Teacher competencies for the implementation of collaborative learning in the classroom: A framework and research review. </w:t>
      </w:r>
      <w:r w:rsidRPr="00EB4E77">
        <w:rPr>
          <w:rFonts w:cs="Times New Roman"/>
          <w:i/>
          <w:iCs/>
          <w:lang w:val="en-US"/>
        </w:rPr>
        <w:t>Educational Psychology Review</w:t>
      </w:r>
      <w:r w:rsidRPr="00EB4E77">
        <w:rPr>
          <w:rFonts w:cs="Times New Roman"/>
          <w:lang w:val="en-US"/>
        </w:rPr>
        <w:t xml:space="preserve">, </w:t>
      </w:r>
      <w:r w:rsidRPr="00EB4E77">
        <w:rPr>
          <w:rFonts w:cs="Times New Roman"/>
          <w:i/>
          <w:iCs/>
          <w:lang w:val="en-US"/>
        </w:rPr>
        <w:t>27</w:t>
      </w:r>
      <w:r w:rsidRPr="00EB4E77">
        <w:rPr>
          <w:rFonts w:cs="Times New Roman"/>
          <w:iCs/>
          <w:lang w:val="en-US"/>
        </w:rPr>
        <w:t>(3)</w:t>
      </w:r>
      <w:r w:rsidRPr="00EB4E77">
        <w:rPr>
          <w:rFonts w:cs="Times New Roman"/>
          <w:lang w:val="en-US"/>
        </w:rPr>
        <w:t xml:space="preserve">, 505–536. Doi: https://doi.org/10.1007/s10648-014-9288-9 </w:t>
      </w:r>
    </w:p>
    <w:p w14:paraId="7BE01D27" w14:textId="2D8FFCE3"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n-US"/>
        </w:rPr>
        <w:t xml:space="preserve">Kauffman, H. (2015). A review of predictive factors of student success in and satisfaction with online learning. </w:t>
      </w:r>
      <w:r w:rsidRPr="00EB4E77">
        <w:rPr>
          <w:rFonts w:cs="Times New Roman"/>
          <w:i/>
          <w:iCs/>
          <w:lang w:val="en-US"/>
        </w:rPr>
        <w:t>Research in Learning Technology</w:t>
      </w:r>
      <w:r w:rsidRPr="00EB4E77">
        <w:rPr>
          <w:rFonts w:cs="Times New Roman"/>
          <w:lang w:val="en-US"/>
        </w:rPr>
        <w:t xml:space="preserve">, </w:t>
      </w:r>
      <w:r w:rsidRPr="00EB4E77">
        <w:rPr>
          <w:rFonts w:cs="Times New Roman"/>
          <w:i/>
          <w:iCs/>
          <w:lang w:val="en-US"/>
        </w:rPr>
        <w:t>23</w:t>
      </w:r>
      <w:r w:rsidRPr="00EB4E77">
        <w:rPr>
          <w:rFonts w:cs="Times New Roman"/>
          <w:lang w:val="en-US"/>
        </w:rPr>
        <w:t xml:space="preserve">. Doi: https://doi.org/10.3402/rlt.v23.26507 </w:t>
      </w:r>
    </w:p>
    <w:p w14:paraId="5FCB6C62" w14:textId="06BBE90E" w:rsidR="00666C3C" w:rsidRPr="00EB4E77" w:rsidRDefault="00666C3C" w:rsidP="00CF71FB">
      <w:pPr>
        <w:widowControl w:val="0"/>
        <w:autoSpaceDE w:val="0"/>
        <w:autoSpaceDN w:val="0"/>
        <w:adjustRightInd w:val="0"/>
        <w:ind w:left="709" w:hanging="709"/>
        <w:rPr>
          <w:rFonts w:cs="Times New Roman"/>
          <w:lang w:val="es-ES_tradnl"/>
        </w:rPr>
      </w:pPr>
      <w:proofErr w:type="spellStart"/>
      <w:r w:rsidRPr="00EB4E77">
        <w:rPr>
          <w:rFonts w:cs="Times New Roman"/>
          <w:lang w:val="es-ES_tradnl"/>
        </w:rPr>
        <w:t>Mavrou</w:t>
      </w:r>
      <w:proofErr w:type="spellEnd"/>
      <w:r w:rsidRPr="00EB4E77">
        <w:rPr>
          <w:rFonts w:cs="Times New Roman"/>
          <w:lang w:val="es-ES_tradnl"/>
        </w:rPr>
        <w:t xml:space="preserve">, I. (2015). Análisis factorial exploratorio. </w:t>
      </w:r>
      <w:r w:rsidRPr="00EB4E77">
        <w:rPr>
          <w:rFonts w:cs="Times New Roman"/>
          <w:i/>
          <w:iCs/>
          <w:lang w:val="es-ES_tradnl"/>
        </w:rPr>
        <w:t>Revista Nebrija de Lingüística Aplicada a la Enseñanza de Lenguas</w:t>
      </w:r>
      <w:r w:rsidRPr="00EB4E77">
        <w:rPr>
          <w:rFonts w:cs="Times New Roman"/>
          <w:lang w:val="es-ES_tradnl"/>
        </w:rPr>
        <w:t xml:space="preserve">, </w:t>
      </w:r>
      <w:r w:rsidR="008877D4" w:rsidRPr="00EB4E77">
        <w:rPr>
          <w:rFonts w:cs="Times New Roman"/>
          <w:lang w:val="es-ES_tradnl"/>
        </w:rPr>
        <w:t>(</w:t>
      </w:r>
      <w:r w:rsidRPr="00EB4E77">
        <w:rPr>
          <w:rFonts w:cs="Times New Roman"/>
          <w:iCs/>
          <w:lang w:val="es-ES_tradnl"/>
        </w:rPr>
        <w:t>19</w:t>
      </w:r>
      <w:r w:rsidR="008877D4" w:rsidRPr="00EB4E77">
        <w:rPr>
          <w:rFonts w:cs="Times New Roman"/>
          <w:lang w:val="es-ES_tradnl"/>
        </w:rPr>
        <w:t>)</w:t>
      </w:r>
      <w:r w:rsidRPr="00EB4E77">
        <w:rPr>
          <w:rFonts w:cs="Times New Roman"/>
          <w:lang w:val="es-ES_tradnl"/>
        </w:rPr>
        <w:t xml:space="preserve">, 71–80. </w:t>
      </w:r>
      <w:proofErr w:type="spellStart"/>
      <w:r w:rsidRPr="00EB4E77">
        <w:rPr>
          <w:rFonts w:cs="Times New Roman"/>
          <w:lang w:val="es-ES_tradnl"/>
        </w:rPr>
        <w:t>Doi</w:t>
      </w:r>
      <w:proofErr w:type="spellEnd"/>
      <w:r w:rsidRPr="00EB4E77">
        <w:rPr>
          <w:rFonts w:cs="Times New Roman"/>
          <w:lang w:val="es-ES_tradnl"/>
        </w:rPr>
        <w:t xml:space="preserve">: https://doi.org/10.26378/rnlael019283 </w:t>
      </w:r>
    </w:p>
    <w:p w14:paraId="1A09D853" w14:textId="7E5F0736" w:rsidR="00666C3C" w:rsidRPr="00EB4E77" w:rsidRDefault="00666C3C" w:rsidP="00CF71FB">
      <w:pPr>
        <w:widowControl w:val="0"/>
        <w:autoSpaceDE w:val="0"/>
        <w:autoSpaceDN w:val="0"/>
        <w:adjustRightInd w:val="0"/>
        <w:ind w:left="709" w:hanging="709"/>
        <w:rPr>
          <w:rFonts w:cs="Times New Roman"/>
          <w:lang w:val="es-ES_tradnl"/>
        </w:rPr>
      </w:pPr>
      <w:r w:rsidRPr="00EB4E77">
        <w:rPr>
          <w:rFonts w:eastAsia="Times New Roman" w:cs="Times New Roman"/>
          <w:color w:val="222222"/>
          <w:shd w:val="clear" w:color="auto" w:fill="FFFFFF"/>
          <w:lang w:eastAsia="es-ES_tradnl"/>
        </w:rPr>
        <w:t>Organización para la Cooperación y el Desarrollo Económico</w:t>
      </w:r>
      <w:r w:rsidRPr="00EB4E77">
        <w:rPr>
          <w:rFonts w:cs="Times New Roman"/>
          <w:lang w:val="es-ES_tradnl"/>
        </w:rPr>
        <w:t xml:space="preserve"> [OCDE] (2015). </w:t>
      </w:r>
      <w:r w:rsidRPr="00EB4E77">
        <w:rPr>
          <w:rFonts w:cs="Times New Roman"/>
          <w:i/>
          <w:iCs/>
          <w:lang w:val="es-ES_tradnl"/>
        </w:rPr>
        <w:t>Políticas prioritarias para fomentar las habilidades y conocimientos de los mexicanos para la productividad y la innovación</w:t>
      </w:r>
      <w:r w:rsidRPr="00EB4E77">
        <w:rPr>
          <w:rFonts w:cs="Times New Roman"/>
          <w:lang w:val="es-ES_tradnl"/>
        </w:rPr>
        <w:t xml:space="preserve"> (mejores políticas).</w:t>
      </w:r>
      <w:r w:rsidRPr="00EB4E77">
        <w:t xml:space="preserve"> Recuperado de</w:t>
      </w:r>
      <w:r w:rsidRPr="00EB4E77">
        <w:rPr>
          <w:rFonts w:cs="Times New Roman"/>
          <w:lang w:val="es-ES_tradnl"/>
        </w:rPr>
        <w:t xml:space="preserve"> https://www.oecd.org/mexico/mexico-politicas-prioritarias-para-fomentar-las-habilidades-y-conocimientos-de-los-Mexicanos.pdf </w:t>
      </w:r>
    </w:p>
    <w:p w14:paraId="06BCB123" w14:textId="2E4355D0" w:rsidR="00666C3C" w:rsidRPr="00EB4E77" w:rsidRDefault="00666C3C" w:rsidP="00CF71FB">
      <w:pPr>
        <w:widowControl w:val="0"/>
        <w:autoSpaceDE w:val="0"/>
        <w:autoSpaceDN w:val="0"/>
        <w:adjustRightInd w:val="0"/>
        <w:ind w:left="709" w:hanging="709"/>
        <w:rPr>
          <w:rFonts w:cs="Times New Roman"/>
          <w:lang w:val="en-US"/>
        </w:rPr>
      </w:pPr>
      <w:r w:rsidRPr="00EB4E77">
        <w:rPr>
          <w:rFonts w:eastAsia="Times New Roman" w:cs="Times New Roman"/>
          <w:color w:val="222222"/>
          <w:shd w:val="clear" w:color="auto" w:fill="FFFFFF"/>
          <w:lang w:eastAsia="es-ES_tradnl"/>
        </w:rPr>
        <w:lastRenderedPageBreak/>
        <w:t>Organización para la Cooperación y el Desarrollo Económico</w:t>
      </w:r>
      <w:r w:rsidRPr="00EB4E77">
        <w:rPr>
          <w:rFonts w:cs="Times New Roman"/>
          <w:lang w:val="es-ES_tradnl"/>
        </w:rPr>
        <w:t xml:space="preserve"> [OCDE] (2019). </w:t>
      </w:r>
      <w:r w:rsidRPr="00EB4E77">
        <w:rPr>
          <w:rFonts w:cs="Times New Roman"/>
          <w:i/>
          <w:iCs/>
          <w:lang w:val="es-ES_tradnl"/>
        </w:rPr>
        <w:t>Educación superior en México: resultados y relevancia para el mercado laboral</w:t>
      </w:r>
      <w:r w:rsidRPr="00EB4E77">
        <w:rPr>
          <w:rFonts w:cs="Times New Roman"/>
          <w:lang w:val="es-ES_tradnl"/>
        </w:rPr>
        <w:t xml:space="preserve">. </w:t>
      </w:r>
      <w:r w:rsidRPr="00EB4E77">
        <w:rPr>
          <w:rFonts w:cs="Times New Roman"/>
          <w:lang w:val="en-US"/>
        </w:rPr>
        <w:t xml:space="preserve">OECD Publishing. Doi: https://doi.org/10.1787/a93ed2b7-es </w:t>
      </w:r>
    </w:p>
    <w:p w14:paraId="0FE43C0C" w14:textId="72BF59E5" w:rsidR="00666C3C" w:rsidRPr="00EB4E77" w:rsidRDefault="00666C3C" w:rsidP="00CF71FB">
      <w:pPr>
        <w:widowControl w:val="0"/>
        <w:autoSpaceDE w:val="0"/>
        <w:autoSpaceDN w:val="0"/>
        <w:adjustRightInd w:val="0"/>
        <w:ind w:left="709" w:hanging="709"/>
        <w:rPr>
          <w:rFonts w:cs="Times New Roman"/>
          <w:lang w:val="en-US"/>
        </w:rPr>
      </w:pPr>
      <w:r w:rsidRPr="00EB4E77">
        <w:rPr>
          <w:rFonts w:cs="Times New Roman"/>
          <w:lang w:val="en-US"/>
        </w:rPr>
        <w:t xml:space="preserve">Paulsen, M. F. (1995). </w:t>
      </w:r>
      <w:r w:rsidRPr="00EB4E77">
        <w:rPr>
          <w:rFonts w:cs="Times New Roman"/>
          <w:i/>
          <w:iCs/>
          <w:lang w:val="en-US"/>
        </w:rPr>
        <w:t>The online report on pedagogical techniques for computer-mediated communication</w:t>
      </w:r>
      <w:r w:rsidRPr="00EB4E77">
        <w:rPr>
          <w:rFonts w:cs="Times New Roman"/>
          <w:lang w:val="en-US"/>
        </w:rPr>
        <w:t xml:space="preserve">. NKI Oslo, Norway. Retrieved from http://paedpsych.jk.uni-linz.ac.at/PAEDPSYCH/NETSCHULE/NETSCHULELITERATUR/Paulsen95.html </w:t>
      </w:r>
    </w:p>
    <w:p w14:paraId="41E051E8" w14:textId="42A680A5"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n-US"/>
        </w:rPr>
        <w:t xml:space="preserve">Ryan, M., Hodson-Carlton, K. and Ali, N. S. (2005). A Model for Faculty Teaching Online: Confirmation of a Dimensional Matrix. </w:t>
      </w:r>
      <w:proofErr w:type="spellStart"/>
      <w:r w:rsidRPr="00EB4E77">
        <w:rPr>
          <w:rFonts w:cs="Times New Roman"/>
          <w:i/>
          <w:iCs/>
          <w:lang w:val="es-ES_tradnl"/>
        </w:rPr>
        <w:t>Journal</w:t>
      </w:r>
      <w:proofErr w:type="spellEnd"/>
      <w:r w:rsidRPr="00EB4E77">
        <w:rPr>
          <w:rFonts w:cs="Times New Roman"/>
          <w:i/>
          <w:iCs/>
          <w:lang w:val="es-ES_tradnl"/>
        </w:rPr>
        <w:t xml:space="preserve"> </w:t>
      </w:r>
      <w:proofErr w:type="spellStart"/>
      <w:r w:rsidRPr="00EB4E77">
        <w:rPr>
          <w:rFonts w:cs="Times New Roman"/>
          <w:i/>
          <w:iCs/>
          <w:lang w:val="es-ES_tradnl"/>
        </w:rPr>
        <w:t>of</w:t>
      </w:r>
      <w:proofErr w:type="spellEnd"/>
      <w:r w:rsidRPr="00EB4E77">
        <w:rPr>
          <w:rFonts w:cs="Times New Roman"/>
          <w:i/>
          <w:iCs/>
          <w:lang w:val="es-ES_tradnl"/>
        </w:rPr>
        <w:t xml:space="preserve"> </w:t>
      </w:r>
      <w:proofErr w:type="spellStart"/>
      <w:r w:rsidRPr="00EB4E77">
        <w:rPr>
          <w:rFonts w:cs="Times New Roman"/>
          <w:i/>
          <w:iCs/>
          <w:lang w:val="es-ES_tradnl"/>
        </w:rPr>
        <w:t>Nursing</w:t>
      </w:r>
      <w:proofErr w:type="spellEnd"/>
      <w:r w:rsidRPr="00EB4E77">
        <w:rPr>
          <w:rFonts w:cs="Times New Roman"/>
          <w:i/>
          <w:iCs/>
          <w:lang w:val="es-ES_tradnl"/>
        </w:rPr>
        <w:t xml:space="preserve"> </w:t>
      </w:r>
      <w:proofErr w:type="spellStart"/>
      <w:r w:rsidRPr="00EB4E77">
        <w:rPr>
          <w:rFonts w:cs="Times New Roman"/>
          <w:i/>
          <w:iCs/>
          <w:lang w:val="es-ES_tradnl"/>
        </w:rPr>
        <w:t>Education</w:t>
      </w:r>
      <w:proofErr w:type="spellEnd"/>
      <w:r w:rsidRPr="00EB4E77">
        <w:rPr>
          <w:rFonts w:cs="Times New Roman"/>
          <w:lang w:val="es-ES_tradnl"/>
        </w:rPr>
        <w:t xml:space="preserve">, </w:t>
      </w:r>
      <w:r w:rsidRPr="00EB4E77">
        <w:rPr>
          <w:rFonts w:cs="Times New Roman"/>
          <w:i/>
          <w:iCs/>
          <w:lang w:val="es-ES_tradnl"/>
        </w:rPr>
        <w:t>44</w:t>
      </w:r>
      <w:r w:rsidRPr="00EB4E77">
        <w:rPr>
          <w:rFonts w:cs="Times New Roman"/>
          <w:iCs/>
          <w:lang w:val="es-ES_tradnl"/>
        </w:rPr>
        <w:t>(8)</w:t>
      </w:r>
      <w:r w:rsidRPr="00EB4E77">
        <w:rPr>
          <w:rFonts w:cs="Times New Roman"/>
          <w:lang w:val="es-ES_tradnl"/>
        </w:rPr>
        <w:t xml:space="preserve">, 357–365. </w:t>
      </w:r>
      <w:proofErr w:type="spellStart"/>
      <w:r w:rsidRPr="00EB4E77">
        <w:rPr>
          <w:rFonts w:cs="Times New Roman"/>
          <w:lang w:val="es-ES_tradnl"/>
        </w:rPr>
        <w:t>Doi</w:t>
      </w:r>
      <w:proofErr w:type="spellEnd"/>
      <w:r w:rsidRPr="00EB4E77">
        <w:rPr>
          <w:rFonts w:cs="Times New Roman"/>
          <w:lang w:val="es-ES_tradnl"/>
        </w:rPr>
        <w:t xml:space="preserve">: https://doi.org/10.3928/01484834-20050801-06 </w:t>
      </w:r>
    </w:p>
    <w:p w14:paraId="55B2F7F0" w14:textId="4F0E381C"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noProof/>
        </w:rPr>
        <w:t>Secretaría de Educación Pública</w:t>
      </w:r>
      <w:r w:rsidRPr="00EB4E77">
        <w:rPr>
          <w:rFonts w:cs="Times New Roman"/>
          <w:lang w:val="es-ES_tradnl"/>
        </w:rPr>
        <w:t xml:space="preserve"> [SEP] (2020). </w:t>
      </w:r>
      <w:r w:rsidRPr="00EB4E77">
        <w:rPr>
          <w:rFonts w:cs="Times New Roman"/>
          <w:i/>
          <w:lang w:val="es-ES_tradnl"/>
        </w:rPr>
        <w:t>Boletín N.° 72. De acuerdo con la Secretaría de Salud, la SEP instrumenta las medidas preventivas por COVID-19.</w:t>
      </w:r>
      <w:r w:rsidRPr="00EB4E77">
        <w:rPr>
          <w:rFonts w:cs="Times New Roman"/>
          <w:lang w:val="es-ES_tradnl"/>
        </w:rPr>
        <w:t xml:space="preserve"> Secretaría de Educación Pública. Recuperado de http://www.gob.mx/sep/es/articulos/boletin-no-72-de-acuerdo-con-la-secretaria-de-salud-la-sep-instrumenta-las-medidas-preventivas-por-covid-19?idiom=es </w:t>
      </w:r>
    </w:p>
    <w:p w14:paraId="4DDE970A" w14:textId="51C4F60C"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Tejeda Fernández, J. y Pozos Pérez, K. V. (2018). Nuevos escenarios y competencias digitales docentes: hacia la profesionalización docente con TIC. </w:t>
      </w:r>
      <w:r w:rsidRPr="00EB4E77">
        <w:rPr>
          <w:rFonts w:cs="Times New Roman"/>
          <w:i/>
          <w:iCs/>
          <w:lang w:val="es-ES_tradnl"/>
        </w:rPr>
        <w:t>Profesorado, Revista de Currículum y Formación del Profesorado</w:t>
      </w:r>
      <w:r w:rsidRPr="00EB4E77">
        <w:rPr>
          <w:rFonts w:cs="Times New Roman"/>
          <w:lang w:val="es-ES_tradnl"/>
        </w:rPr>
        <w:t xml:space="preserve">, </w:t>
      </w:r>
      <w:r w:rsidRPr="00EB4E77">
        <w:rPr>
          <w:rFonts w:cs="Times New Roman"/>
          <w:i/>
          <w:iCs/>
          <w:lang w:val="es-ES_tradnl"/>
        </w:rPr>
        <w:t>22</w:t>
      </w:r>
      <w:r w:rsidRPr="00EB4E77">
        <w:rPr>
          <w:rFonts w:cs="Times New Roman"/>
          <w:lang w:val="es-ES_tradnl"/>
        </w:rPr>
        <w:t xml:space="preserve">(1), 25–51. </w:t>
      </w:r>
      <w:proofErr w:type="spellStart"/>
      <w:r w:rsidRPr="00EB4E77">
        <w:rPr>
          <w:rFonts w:cs="Times New Roman"/>
          <w:lang w:val="es-ES_tradnl"/>
        </w:rPr>
        <w:t>Doi</w:t>
      </w:r>
      <w:proofErr w:type="spellEnd"/>
      <w:r w:rsidRPr="00EB4E77">
        <w:rPr>
          <w:rFonts w:cs="Times New Roman"/>
          <w:lang w:val="es-ES_tradnl"/>
        </w:rPr>
        <w:t xml:space="preserve">: https://doi.org/10.30827/profesorado.v22i1.9917 </w:t>
      </w:r>
    </w:p>
    <w:p w14:paraId="6F554734" w14:textId="41C6FBCA" w:rsidR="00666C3C" w:rsidRPr="00EB4E77"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 xml:space="preserve">Unesco (1951). Las misiones culturales mexicanas y la educación fundamental. </w:t>
      </w:r>
      <w:r w:rsidRPr="00EB4E77">
        <w:rPr>
          <w:rFonts w:cs="Times New Roman"/>
          <w:i/>
          <w:iCs/>
          <w:lang w:val="es-ES_tradnl"/>
        </w:rPr>
        <w:t>El Correo de la Unesco</w:t>
      </w:r>
      <w:r w:rsidRPr="00EB4E77">
        <w:rPr>
          <w:rFonts w:cs="Times New Roman"/>
          <w:lang w:val="es-ES_tradnl"/>
        </w:rPr>
        <w:t xml:space="preserve">, </w:t>
      </w:r>
      <w:r w:rsidRPr="00EB4E77">
        <w:rPr>
          <w:rFonts w:cs="Times New Roman"/>
          <w:i/>
          <w:iCs/>
          <w:lang w:val="es-ES_tradnl"/>
        </w:rPr>
        <w:t>4</w:t>
      </w:r>
      <w:r w:rsidRPr="00EB4E77">
        <w:rPr>
          <w:rFonts w:cs="Times New Roman"/>
          <w:iCs/>
          <w:lang w:val="es-ES_tradnl"/>
        </w:rPr>
        <w:t>(1-2)</w:t>
      </w:r>
      <w:r w:rsidRPr="00EB4E77">
        <w:rPr>
          <w:rFonts w:cs="Times New Roman"/>
          <w:lang w:val="es-ES_tradnl"/>
        </w:rPr>
        <w:t xml:space="preserve">. Recuperado </w:t>
      </w:r>
      <w:proofErr w:type="gramStart"/>
      <w:r w:rsidRPr="00EB4E77">
        <w:rPr>
          <w:rFonts w:cs="Times New Roman"/>
          <w:lang w:val="es-ES_tradnl"/>
        </w:rPr>
        <w:t>de  https://unesdoc.unesco.org/ark:/48223/pf0000072391_spa</w:t>
      </w:r>
      <w:proofErr w:type="gramEnd"/>
      <w:r w:rsidRPr="00EB4E77">
        <w:rPr>
          <w:rFonts w:cs="Times New Roman"/>
          <w:lang w:val="es-ES_tradnl"/>
        </w:rPr>
        <w:t xml:space="preserve"> </w:t>
      </w:r>
    </w:p>
    <w:p w14:paraId="3599774C" w14:textId="548EACF2" w:rsidR="00666C3C" w:rsidRDefault="00666C3C" w:rsidP="00CF71FB">
      <w:pPr>
        <w:widowControl w:val="0"/>
        <w:autoSpaceDE w:val="0"/>
        <w:autoSpaceDN w:val="0"/>
        <w:adjustRightInd w:val="0"/>
        <w:ind w:left="709" w:hanging="709"/>
        <w:rPr>
          <w:rFonts w:cs="Times New Roman"/>
          <w:lang w:val="es-ES_tradnl"/>
        </w:rPr>
      </w:pPr>
      <w:r w:rsidRPr="00EB4E77">
        <w:rPr>
          <w:rFonts w:cs="Times New Roman"/>
          <w:lang w:val="es-ES_tradnl"/>
        </w:rPr>
        <w:t>Valencia-Molina, T., Serna-Collazos, A., Ochoa-</w:t>
      </w:r>
      <w:proofErr w:type="spellStart"/>
      <w:r w:rsidRPr="00EB4E77">
        <w:rPr>
          <w:rFonts w:cs="Times New Roman"/>
          <w:lang w:val="es-ES_tradnl"/>
        </w:rPr>
        <w:t>Angrino</w:t>
      </w:r>
      <w:proofErr w:type="spellEnd"/>
      <w:r w:rsidRPr="00EB4E77">
        <w:rPr>
          <w:rFonts w:cs="Times New Roman"/>
          <w:lang w:val="es-ES_tradnl"/>
        </w:rPr>
        <w:t>, S., Caicedo-Tamayo, A. M., Montes-González, J. A. and Chávez-</w:t>
      </w:r>
      <w:proofErr w:type="spellStart"/>
      <w:r w:rsidRPr="00EB4E77">
        <w:rPr>
          <w:rFonts w:cs="Times New Roman"/>
          <w:lang w:val="es-ES_tradnl"/>
        </w:rPr>
        <w:t>Vescance</w:t>
      </w:r>
      <w:proofErr w:type="spellEnd"/>
      <w:r w:rsidRPr="00EB4E77">
        <w:rPr>
          <w:rFonts w:cs="Times New Roman"/>
          <w:lang w:val="es-ES_tradnl"/>
        </w:rPr>
        <w:t xml:space="preserve">, J. D. (2016). </w:t>
      </w:r>
      <w:r w:rsidRPr="00EB4E77">
        <w:rPr>
          <w:rFonts w:cs="Times New Roman"/>
          <w:i/>
          <w:iCs/>
          <w:lang w:val="es-ES_tradnl"/>
        </w:rPr>
        <w:t>Competencias y estándares TIC desde la dimensión pedagógica: Una perspectiva desde los niveles de apropiación de las TIC en la práctica educativa docente</w:t>
      </w:r>
      <w:r w:rsidRPr="00EB4E77">
        <w:rPr>
          <w:rFonts w:cs="Times New Roman"/>
          <w:lang w:val="es-ES_tradnl"/>
        </w:rPr>
        <w:t xml:space="preserve">. Recuperado de </w:t>
      </w:r>
      <w:r w:rsidR="00727258" w:rsidRPr="00727258">
        <w:rPr>
          <w:rFonts w:cs="Times New Roman"/>
          <w:lang w:val="es-ES_tradnl"/>
        </w:rPr>
        <w:t>http://www.unesco.org/new/fileadmin/MULTIMEDIA/FIELD/Santiago/pdf/Competencias-estandares-TIC.pd</w:t>
      </w:r>
    </w:p>
    <w:p w14:paraId="4E244CEE" w14:textId="51DB3E79" w:rsidR="00727258" w:rsidRDefault="00727258" w:rsidP="00CF71FB">
      <w:pPr>
        <w:widowControl w:val="0"/>
        <w:autoSpaceDE w:val="0"/>
        <w:autoSpaceDN w:val="0"/>
        <w:adjustRightInd w:val="0"/>
        <w:ind w:left="709" w:hanging="709"/>
        <w:rPr>
          <w:rFonts w:cs="Times New Roman"/>
          <w:lang w:val="es-ES_tradnl"/>
        </w:rPr>
      </w:pPr>
    </w:p>
    <w:p w14:paraId="62F88D42" w14:textId="74500CFE" w:rsidR="00727258" w:rsidRDefault="00727258" w:rsidP="00CF71FB">
      <w:pPr>
        <w:widowControl w:val="0"/>
        <w:autoSpaceDE w:val="0"/>
        <w:autoSpaceDN w:val="0"/>
        <w:adjustRightInd w:val="0"/>
        <w:ind w:left="709" w:hanging="709"/>
        <w:rPr>
          <w:rFonts w:cs="Times New Roman"/>
          <w:lang w:val="es-ES_tradnl"/>
        </w:rPr>
      </w:pPr>
    </w:p>
    <w:p w14:paraId="3E0F5B51" w14:textId="6E2F13C1" w:rsidR="00727258" w:rsidRDefault="00727258" w:rsidP="00CF71FB">
      <w:pPr>
        <w:widowControl w:val="0"/>
        <w:autoSpaceDE w:val="0"/>
        <w:autoSpaceDN w:val="0"/>
        <w:adjustRightInd w:val="0"/>
        <w:ind w:left="709" w:hanging="709"/>
        <w:rPr>
          <w:rFonts w:cs="Times New Roman"/>
          <w:lang w:val="es-ES_tradnl"/>
        </w:rPr>
      </w:pPr>
    </w:p>
    <w:p w14:paraId="1F15D172" w14:textId="77777777" w:rsidR="00727258" w:rsidRDefault="00727258" w:rsidP="00CF71FB">
      <w:pPr>
        <w:widowControl w:val="0"/>
        <w:autoSpaceDE w:val="0"/>
        <w:autoSpaceDN w:val="0"/>
        <w:adjustRightInd w:val="0"/>
        <w:ind w:left="709" w:hanging="709"/>
        <w:rPr>
          <w:rFonts w:cs="Times New Roman"/>
          <w:lang w:val="es-ES_tradnl"/>
        </w:rPr>
      </w:pPr>
    </w:p>
    <w:p w14:paraId="5B827D8B" w14:textId="77777777" w:rsidR="00666C3C" w:rsidRDefault="00666C3C" w:rsidP="00666C3C">
      <w:pPr>
        <w:widowControl w:val="0"/>
        <w:autoSpaceDE w:val="0"/>
        <w:autoSpaceDN w:val="0"/>
        <w:adjustRightInd w:val="0"/>
        <w:spacing w:line="240" w:lineRule="auto"/>
        <w:ind w:left="709" w:hanging="709"/>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27258" w:rsidRPr="00727258" w14:paraId="1E7AF5F6" w14:textId="77777777" w:rsidTr="008A5DD1">
        <w:tc>
          <w:tcPr>
            <w:tcW w:w="3045" w:type="dxa"/>
            <w:shd w:val="clear" w:color="auto" w:fill="auto"/>
            <w:tcMar>
              <w:top w:w="100" w:type="dxa"/>
              <w:left w:w="100" w:type="dxa"/>
              <w:bottom w:w="100" w:type="dxa"/>
              <w:right w:w="100" w:type="dxa"/>
            </w:tcMar>
          </w:tcPr>
          <w:p w14:paraId="5E1A7145" w14:textId="77777777" w:rsidR="00727258" w:rsidRPr="00727258" w:rsidRDefault="00727258" w:rsidP="008A5DD1">
            <w:pPr>
              <w:pStyle w:val="Ttulo3"/>
              <w:widowControl w:val="0"/>
              <w:spacing w:before="0" w:line="240" w:lineRule="auto"/>
              <w:rPr>
                <w:rFonts w:ascii="Times New Roman" w:hAnsi="Times New Roman" w:cs="Times New Roman"/>
                <w:color w:val="000000" w:themeColor="text1"/>
              </w:rPr>
            </w:pPr>
            <w:r w:rsidRPr="00727258">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77855A9" w14:textId="6B92A4D3" w:rsidR="00727258" w:rsidRPr="00727258" w:rsidRDefault="00727258" w:rsidP="008A5DD1">
            <w:pPr>
              <w:pStyle w:val="Ttulo3"/>
              <w:widowControl w:val="0"/>
              <w:spacing w:before="0" w:line="240" w:lineRule="auto"/>
              <w:rPr>
                <w:rFonts w:ascii="Times New Roman" w:hAnsi="Times New Roman" w:cs="Times New Roman"/>
                <w:color w:val="000000" w:themeColor="text1"/>
              </w:rPr>
            </w:pPr>
            <w:bookmarkStart w:id="7" w:name="_btsjgdfgjwkr" w:colFirst="0" w:colLast="0"/>
            <w:bookmarkEnd w:id="7"/>
            <w:r w:rsidRPr="00727258">
              <w:rPr>
                <w:rFonts w:ascii="Times New Roman" w:hAnsi="Times New Roman" w:cs="Times New Roman"/>
                <w:color w:val="000000" w:themeColor="text1"/>
              </w:rPr>
              <w:t>Autor (es)</w:t>
            </w:r>
          </w:p>
        </w:tc>
      </w:tr>
      <w:tr w:rsidR="00727258" w:rsidRPr="00727258" w14:paraId="7091E126" w14:textId="77777777" w:rsidTr="008A5DD1">
        <w:tc>
          <w:tcPr>
            <w:tcW w:w="3045" w:type="dxa"/>
            <w:shd w:val="clear" w:color="auto" w:fill="auto"/>
            <w:tcMar>
              <w:top w:w="100" w:type="dxa"/>
              <w:left w:w="100" w:type="dxa"/>
              <w:bottom w:w="100" w:type="dxa"/>
              <w:right w:w="100" w:type="dxa"/>
            </w:tcMar>
          </w:tcPr>
          <w:p w14:paraId="6E3A8F5E"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Conceptualización</w:t>
            </w:r>
          </w:p>
        </w:tc>
        <w:tc>
          <w:tcPr>
            <w:tcW w:w="6315" w:type="dxa"/>
            <w:shd w:val="clear" w:color="auto" w:fill="auto"/>
            <w:tcMar>
              <w:top w:w="100" w:type="dxa"/>
              <w:left w:w="100" w:type="dxa"/>
              <w:bottom w:w="100" w:type="dxa"/>
              <w:right w:w="100" w:type="dxa"/>
            </w:tcMar>
          </w:tcPr>
          <w:p w14:paraId="579B0168"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Principal</w:t>
            </w:r>
          </w:p>
        </w:tc>
      </w:tr>
      <w:tr w:rsidR="00727258" w:rsidRPr="00727258" w14:paraId="1720C492" w14:textId="77777777" w:rsidTr="008A5DD1">
        <w:tc>
          <w:tcPr>
            <w:tcW w:w="3045" w:type="dxa"/>
            <w:shd w:val="clear" w:color="auto" w:fill="auto"/>
            <w:tcMar>
              <w:top w:w="100" w:type="dxa"/>
              <w:left w:w="100" w:type="dxa"/>
              <w:bottom w:w="100" w:type="dxa"/>
              <w:right w:w="100" w:type="dxa"/>
            </w:tcMar>
          </w:tcPr>
          <w:p w14:paraId="27775E00"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Metodología</w:t>
            </w:r>
          </w:p>
        </w:tc>
        <w:tc>
          <w:tcPr>
            <w:tcW w:w="6315" w:type="dxa"/>
            <w:shd w:val="clear" w:color="auto" w:fill="auto"/>
            <w:tcMar>
              <w:top w:w="100" w:type="dxa"/>
              <w:left w:w="100" w:type="dxa"/>
              <w:bottom w:w="100" w:type="dxa"/>
              <w:right w:w="100" w:type="dxa"/>
            </w:tcMar>
          </w:tcPr>
          <w:p w14:paraId="295DEEC2"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Principal</w:t>
            </w:r>
          </w:p>
          <w:p w14:paraId="139D4A44"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Rosa María González Isasi - Apoya</w:t>
            </w:r>
          </w:p>
          <w:p w14:paraId="1436D89D" w14:textId="77777777" w:rsidR="00727258" w:rsidRPr="00727258" w:rsidRDefault="00727258" w:rsidP="008A5DD1">
            <w:pPr>
              <w:widowControl w:val="0"/>
              <w:spacing w:line="240" w:lineRule="auto"/>
              <w:rPr>
                <w:rFonts w:cs="Times New Roman"/>
                <w:color w:val="000000" w:themeColor="text1"/>
              </w:rPr>
            </w:pPr>
            <w:proofErr w:type="spellStart"/>
            <w:r w:rsidRPr="00727258">
              <w:rPr>
                <w:rFonts w:cs="Times New Roman"/>
                <w:color w:val="000000" w:themeColor="text1"/>
              </w:rPr>
              <w:t>Victor</w:t>
            </w:r>
            <w:proofErr w:type="spellEnd"/>
            <w:r w:rsidRPr="00727258">
              <w:rPr>
                <w:rFonts w:cs="Times New Roman"/>
                <w:color w:val="000000" w:themeColor="text1"/>
              </w:rPr>
              <w:t xml:space="preserve"> Manuel Padilla Montemayor - Apoya</w:t>
            </w:r>
          </w:p>
        </w:tc>
      </w:tr>
      <w:tr w:rsidR="00727258" w:rsidRPr="00727258" w14:paraId="36179107" w14:textId="77777777" w:rsidTr="008A5DD1">
        <w:tc>
          <w:tcPr>
            <w:tcW w:w="3045" w:type="dxa"/>
            <w:shd w:val="clear" w:color="auto" w:fill="auto"/>
            <w:tcMar>
              <w:top w:w="100" w:type="dxa"/>
              <w:left w:w="100" w:type="dxa"/>
              <w:bottom w:w="100" w:type="dxa"/>
              <w:right w:w="100" w:type="dxa"/>
            </w:tcMar>
          </w:tcPr>
          <w:p w14:paraId="5F21DE18"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Software</w:t>
            </w:r>
          </w:p>
        </w:tc>
        <w:tc>
          <w:tcPr>
            <w:tcW w:w="6315" w:type="dxa"/>
            <w:shd w:val="clear" w:color="auto" w:fill="auto"/>
            <w:tcMar>
              <w:top w:w="100" w:type="dxa"/>
              <w:left w:w="100" w:type="dxa"/>
              <w:bottom w:w="100" w:type="dxa"/>
              <w:right w:w="100" w:type="dxa"/>
            </w:tcMar>
          </w:tcPr>
          <w:p w14:paraId="31521C61"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No aplica</w:t>
            </w:r>
          </w:p>
        </w:tc>
      </w:tr>
      <w:tr w:rsidR="00727258" w:rsidRPr="00727258" w14:paraId="7FA6CC42" w14:textId="77777777" w:rsidTr="008A5DD1">
        <w:tc>
          <w:tcPr>
            <w:tcW w:w="3045" w:type="dxa"/>
            <w:shd w:val="clear" w:color="auto" w:fill="auto"/>
            <w:tcMar>
              <w:top w:w="100" w:type="dxa"/>
              <w:left w:w="100" w:type="dxa"/>
              <w:bottom w:w="100" w:type="dxa"/>
              <w:right w:w="100" w:type="dxa"/>
            </w:tcMar>
          </w:tcPr>
          <w:p w14:paraId="41238093"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Validación</w:t>
            </w:r>
          </w:p>
        </w:tc>
        <w:tc>
          <w:tcPr>
            <w:tcW w:w="6315" w:type="dxa"/>
            <w:shd w:val="clear" w:color="auto" w:fill="auto"/>
            <w:tcMar>
              <w:top w:w="100" w:type="dxa"/>
              <w:left w:w="100" w:type="dxa"/>
              <w:bottom w:w="100" w:type="dxa"/>
              <w:right w:w="100" w:type="dxa"/>
            </w:tcMar>
          </w:tcPr>
          <w:p w14:paraId="0A0868BD" w14:textId="2D6D0022"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Rosa María González Isasi </w:t>
            </w:r>
            <w:r>
              <w:rPr>
                <w:rFonts w:cs="Times New Roman"/>
                <w:color w:val="000000" w:themeColor="text1"/>
              </w:rPr>
              <w:t>–</w:t>
            </w:r>
            <w:r w:rsidRPr="00727258">
              <w:rPr>
                <w:rFonts w:cs="Times New Roman"/>
                <w:color w:val="000000" w:themeColor="text1"/>
              </w:rPr>
              <w:t xml:space="preserve"> Principal</w:t>
            </w:r>
          </w:p>
        </w:tc>
      </w:tr>
      <w:tr w:rsidR="00727258" w:rsidRPr="00727258" w14:paraId="5AE40FF0" w14:textId="77777777" w:rsidTr="008A5DD1">
        <w:tc>
          <w:tcPr>
            <w:tcW w:w="3045" w:type="dxa"/>
            <w:shd w:val="clear" w:color="auto" w:fill="auto"/>
            <w:tcMar>
              <w:top w:w="100" w:type="dxa"/>
              <w:left w:w="100" w:type="dxa"/>
              <w:bottom w:w="100" w:type="dxa"/>
              <w:right w:w="100" w:type="dxa"/>
            </w:tcMar>
          </w:tcPr>
          <w:p w14:paraId="3CF7099F"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Análisis Formal</w:t>
            </w:r>
          </w:p>
        </w:tc>
        <w:tc>
          <w:tcPr>
            <w:tcW w:w="6315" w:type="dxa"/>
            <w:shd w:val="clear" w:color="auto" w:fill="auto"/>
            <w:tcMar>
              <w:top w:w="100" w:type="dxa"/>
              <w:left w:w="100" w:type="dxa"/>
              <w:bottom w:w="100" w:type="dxa"/>
              <w:right w:w="100" w:type="dxa"/>
            </w:tcMar>
          </w:tcPr>
          <w:p w14:paraId="6C38E629"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Principal</w:t>
            </w:r>
          </w:p>
          <w:p w14:paraId="5DE2A515"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 </w:t>
            </w:r>
            <w:proofErr w:type="spellStart"/>
            <w:r w:rsidRPr="00727258">
              <w:rPr>
                <w:rFonts w:cs="Times New Roman"/>
                <w:color w:val="000000" w:themeColor="text1"/>
              </w:rPr>
              <w:t>Victor</w:t>
            </w:r>
            <w:proofErr w:type="spellEnd"/>
            <w:r w:rsidRPr="00727258">
              <w:rPr>
                <w:rFonts w:cs="Times New Roman"/>
                <w:color w:val="000000" w:themeColor="text1"/>
              </w:rPr>
              <w:t xml:space="preserve"> Manuel Padilla Montemayor - Apoya</w:t>
            </w:r>
          </w:p>
        </w:tc>
      </w:tr>
      <w:tr w:rsidR="00727258" w:rsidRPr="00727258" w14:paraId="6C9A432E" w14:textId="77777777" w:rsidTr="008A5DD1">
        <w:tc>
          <w:tcPr>
            <w:tcW w:w="3045" w:type="dxa"/>
            <w:shd w:val="clear" w:color="auto" w:fill="auto"/>
            <w:tcMar>
              <w:top w:w="100" w:type="dxa"/>
              <w:left w:w="100" w:type="dxa"/>
              <w:bottom w:w="100" w:type="dxa"/>
              <w:right w:w="100" w:type="dxa"/>
            </w:tcMar>
          </w:tcPr>
          <w:p w14:paraId="7A4446F2"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Investigación</w:t>
            </w:r>
          </w:p>
        </w:tc>
        <w:tc>
          <w:tcPr>
            <w:tcW w:w="6315" w:type="dxa"/>
            <w:shd w:val="clear" w:color="auto" w:fill="auto"/>
            <w:tcMar>
              <w:top w:w="100" w:type="dxa"/>
              <w:left w:w="100" w:type="dxa"/>
              <w:bottom w:w="100" w:type="dxa"/>
              <w:right w:w="100" w:type="dxa"/>
            </w:tcMar>
          </w:tcPr>
          <w:p w14:paraId="2862AD2C" w14:textId="3DB29821"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Nancy Domínguez González </w:t>
            </w:r>
            <w:r>
              <w:rPr>
                <w:rFonts w:cs="Times New Roman"/>
                <w:color w:val="000000" w:themeColor="text1"/>
              </w:rPr>
              <w:t>–</w:t>
            </w:r>
            <w:r w:rsidRPr="00727258">
              <w:rPr>
                <w:rFonts w:cs="Times New Roman"/>
                <w:color w:val="000000" w:themeColor="text1"/>
              </w:rPr>
              <w:t xml:space="preserve"> Principal</w:t>
            </w:r>
          </w:p>
        </w:tc>
      </w:tr>
      <w:tr w:rsidR="00727258" w:rsidRPr="00727258" w14:paraId="3F26951D" w14:textId="77777777" w:rsidTr="008A5DD1">
        <w:tc>
          <w:tcPr>
            <w:tcW w:w="3045" w:type="dxa"/>
            <w:shd w:val="clear" w:color="auto" w:fill="auto"/>
            <w:tcMar>
              <w:top w:w="100" w:type="dxa"/>
              <w:left w:w="100" w:type="dxa"/>
              <w:bottom w:w="100" w:type="dxa"/>
              <w:right w:w="100" w:type="dxa"/>
            </w:tcMar>
          </w:tcPr>
          <w:p w14:paraId="75101F83"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Recursos</w:t>
            </w:r>
          </w:p>
        </w:tc>
        <w:tc>
          <w:tcPr>
            <w:tcW w:w="6315" w:type="dxa"/>
            <w:shd w:val="clear" w:color="auto" w:fill="auto"/>
            <w:tcMar>
              <w:top w:w="100" w:type="dxa"/>
              <w:left w:w="100" w:type="dxa"/>
              <w:bottom w:w="100" w:type="dxa"/>
              <w:right w:w="100" w:type="dxa"/>
            </w:tcMar>
          </w:tcPr>
          <w:p w14:paraId="0695E2B3"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Recursos propios</w:t>
            </w:r>
          </w:p>
        </w:tc>
      </w:tr>
      <w:tr w:rsidR="00727258" w:rsidRPr="00727258" w14:paraId="2056874D" w14:textId="77777777" w:rsidTr="008A5DD1">
        <w:tc>
          <w:tcPr>
            <w:tcW w:w="3045" w:type="dxa"/>
            <w:shd w:val="clear" w:color="auto" w:fill="auto"/>
            <w:tcMar>
              <w:top w:w="100" w:type="dxa"/>
              <w:left w:w="100" w:type="dxa"/>
              <w:bottom w:w="100" w:type="dxa"/>
              <w:right w:w="100" w:type="dxa"/>
            </w:tcMar>
          </w:tcPr>
          <w:p w14:paraId="46335A31"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Curación de datos</w:t>
            </w:r>
          </w:p>
        </w:tc>
        <w:tc>
          <w:tcPr>
            <w:tcW w:w="6315" w:type="dxa"/>
            <w:shd w:val="clear" w:color="auto" w:fill="auto"/>
            <w:tcMar>
              <w:top w:w="100" w:type="dxa"/>
              <w:left w:w="100" w:type="dxa"/>
              <w:bottom w:w="100" w:type="dxa"/>
              <w:right w:w="100" w:type="dxa"/>
            </w:tcMar>
          </w:tcPr>
          <w:p w14:paraId="3B17EFC7"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No aplica</w:t>
            </w:r>
          </w:p>
        </w:tc>
      </w:tr>
      <w:tr w:rsidR="00727258" w:rsidRPr="00727258" w14:paraId="4BD47AAD" w14:textId="77777777" w:rsidTr="008A5DD1">
        <w:tc>
          <w:tcPr>
            <w:tcW w:w="3045" w:type="dxa"/>
            <w:shd w:val="clear" w:color="auto" w:fill="auto"/>
            <w:tcMar>
              <w:top w:w="100" w:type="dxa"/>
              <w:left w:w="100" w:type="dxa"/>
              <w:bottom w:w="100" w:type="dxa"/>
              <w:right w:w="100" w:type="dxa"/>
            </w:tcMar>
          </w:tcPr>
          <w:p w14:paraId="32915EEE"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DF38EA8"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Principal</w:t>
            </w:r>
          </w:p>
          <w:p w14:paraId="53B46D5D"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Daniel Serna Poot – Apoya </w:t>
            </w:r>
          </w:p>
        </w:tc>
      </w:tr>
      <w:tr w:rsidR="00727258" w:rsidRPr="00727258" w14:paraId="701540C5" w14:textId="77777777" w:rsidTr="008A5DD1">
        <w:tc>
          <w:tcPr>
            <w:tcW w:w="3045" w:type="dxa"/>
            <w:shd w:val="clear" w:color="auto" w:fill="auto"/>
            <w:tcMar>
              <w:top w:w="100" w:type="dxa"/>
              <w:left w:w="100" w:type="dxa"/>
              <w:bottom w:w="100" w:type="dxa"/>
              <w:right w:w="100" w:type="dxa"/>
            </w:tcMar>
          </w:tcPr>
          <w:p w14:paraId="31731C49"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2810E367"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Principal</w:t>
            </w:r>
          </w:p>
          <w:p w14:paraId="2AF0B9D1" w14:textId="4761F742"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Daniel Serna Poot </w:t>
            </w:r>
            <w:r>
              <w:rPr>
                <w:rFonts w:cs="Times New Roman"/>
                <w:color w:val="000000" w:themeColor="text1"/>
              </w:rPr>
              <w:t>–</w:t>
            </w:r>
            <w:r w:rsidRPr="00727258">
              <w:rPr>
                <w:rFonts w:cs="Times New Roman"/>
                <w:color w:val="000000" w:themeColor="text1"/>
              </w:rPr>
              <w:t xml:space="preserve"> Apoya</w:t>
            </w:r>
          </w:p>
        </w:tc>
      </w:tr>
      <w:tr w:rsidR="00727258" w:rsidRPr="00727258" w14:paraId="763939E9" w14:textId="77777777" w:rsidTr="008A5DD1">
        <w:tc>
          <w:tcPr>
            <w:tcW w:w="3045" w:type="dxa"/>
            <w:shd w:val="clear" w:color="auto" w:fill="auto"/>
            <w:tcMar>
              <w:top w:w="100" w:type="dxa"/>
              <w:left w:w="100" w:type="dxa"/>
              <w:bottom w:w="100" w:type="dxa"/>
              <w:right w:w="100" w:type="dxa"/>
            </w:tcMar>
          </w:tcPr>
          <w:p w14:paraId="7A62A818"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Visualización</w:t>
            </w:r>
          </w:p>
        </w:tc>
        <w:tc>
          <w:tcPr>
            <w:tcW w:w="6315" w:type="dxa"/>
            <w:shd w:val="clear" w:color="auto" w:fill="auto"/>
            <w:tcMar>
              <w:top w:w="100" w:type="dxa"/>
              <w:left w:w="100" w:type="dxa"/>
              <w:bottom w:w="100" w:type="dxa"/>
              <w:right w:w="100" w:type="dxa"/>
            </w:tcMar>
          </w:tcPr>
          <w:p w14:paraId="35D79B87"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Nancy Domínguez González - Igual</w:t>
            </w:r>
          </w:p>
          <w:p w14:paraId="2B7658CB" w14:textId="7A66BFBC"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 xml:space="preserve">Daniel Serna Poot </w:t>
            </w:r>
            <w:r>
              <w:rPr>
                <w:rFonts w:cs="Times New Roman"/>
                <w:color w:val="000000" w:themeColor="text1"/>
              </w:rPr>
              <w:t>–</w:t>
            </w:r>
            <w:r w:rsidRPr="00727258">
              <w:rPr>
                <w:rFonts w:cs="Times New Roman"/>
                <w:color w:val="000000" w:themeColor="text1"/>
              </w:rPr>
              <w:t xml:space="preserve"> Igual</w:t>
            </w:r>
          </w:p>
        </w:tc>
      </w:tr>
      <w:tr w:rsidR="00727258" w:rsidRPr="00727258" w14:paraId="06722578" w14:textId="77777777" w:rsidTr="008A5DD1">
        <w:tc>
          <w:tcPr>
            <w:tcW w:w="3045" w:type="dxa"/>
            <w:shd w:val="clear" w:color="auto" w:fill="auto"/>
            <w:tcMar>
              <w:top w:w="100" w:type="dxa"/>
              <w:left w:w="100" w:type="dxa"/>
              <w:bottom w:w="100" w:type="dxa"/>
              <w:right w:w="100" w:type="dxa"/>
            </w:tcMar>
          </w:tcPr>
          <w:p w14:paraId="0C6F9B81"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Supervisión</w:t>
            </w:r>
          </w:p>
        </w:tc>
        <w:tc>
          <w:tcPr>
            <w:tcW w:w="6315" w:type="dxa"/>
            <w:shd w:val="clear" w:color="auto" w:fill="auto"/>
            <w:tcMar>
              <w:top w:w="100" w:type="dxa"/>
              <w:left w:w="100" w:type="dxa"/>
              <w:bottom w:w="100" w:type="dxa"/>
              <w:right w:w="100" w:type="dxa"/>
            </w:tcMar>
          </w:tcPr>
          <w:p w14:paraId="30AD6115"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No aplica</w:t>
            </w:r>
          </w:p>
        </w:tc>
      </w:tr>
      <w:tr w:rsidR="00727258" w:rsidRPr="00727258" w14:paraId="3809FBB2" w14:textId="77777777" w:rsidTr="008A5DD1">
        <w:tc>
          <w:tcPr>
            <w:tcW w:w="3045" w:type="dxa"/>
            <w:shd w:val="clear" w:color="auto" w:fill="auto"/>
            <w:tcMar>
              <w:top w:w="100" w:type="dxa"/>
              <w:left w:w="100" w:type="dxa"/>
              <w:bottom w:w="100" w:type="dxa"/>
              <w:right w:w="100" w:type="dxa"/>
            </w:tcMar>
          </w:tcPr>
          <w:p w14:paraId="641420F7"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7341A2A8"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No aplica</w:t>
            </w:r>
          </w:p>
        </w:tc>
      </w:tr>
      <w:tr w:rsidR="00727258" w:rsidRPr="00727258" w14:paraId="7CD86A6F" w14:textId="77777777" w:rsidTr="008A5DD1">
        <w:tc>
          <w:tcPr>
            <w:tcW w:w="3045" w:type="dxa"/>
            <w:shd w:val="clear" w:color="auto" w:fill="auto"/>
            <w:tcMar>
              <w:top w:w="100" w:type="dxa"/>
              <w:left w:w="100" w:type="dxa"/>
              <w:bottom w:w="100" w:type="dxa"/>
              <w:right w:w="100" w:type="dxa"/>
            </w:tcMar>
          </w:tcPr>
          <w:p w14:paraId="7209AE75"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7876B3B0" w14:textId="77777777" w:rsidR="00727258" w:rsidRPr="00727258" w:rsidRDefault="00727258" w:rsidP="008A5DD1">
            <w:pPr>
              <w:widowControl w:val="0"/>
              <w:spacing w:line="240" w:lineRule="auto"/>
              <w:rPr>
                <w:rFonts w:cs="Times New Roman"/>
                <w:color w:val="000000" w:themeColor="text1"/>
              </w:rPr>
            </w:pPr>
            <w:r w:rsidRPr="00727258">
              <w:rPr>
                <w:rFonts w:cs="Times New Roman"/>
                <w:color w:val="000000" w:themeColor="text1"/>
              </w:rPr>
              <w:t>No aplica</w:t>
            </w:r>
          </w:p>
        </w:tc>
      </w:tr>
    </w:tbl>
    <w:p w14:paraId="38171CA8" w14:textId="77777777" w:rsidR="00691C8D" w:rsidRPr="000850FC" w:rsidRDefault="00691C8D">
      <w:pPr>
        <w:rPr>
          <w:lang w:val="es-ES_tradnl"/>
        </w:rPr>
      </w:pPr>
    </w:p>
    <w:sectPr w:rsidR="00691C8D" w:rsidRPr="000850FC" w:rsidSect="00CF71FB">
      <w:headerReference w:type="default" r:id="rId9"/>
      <w:footerReference w:type="default" r:id="rId10"/>
      <w:pgSz w:w="12240" w:h="15840"/>
      <w:pgMar w:top="1276" w:right="1418" w:bottom="993" w:left="1418"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2EBC" w14:textId="77777777" w:rsidR="00BB5879" w:rsidRDefault="00BB5879" w:rsidP="000850FC">
      <w:pPr>
        <w:spacing w:line="240" w:lineRule="auto"/>
      </w:pPr>
      <w:r>
        <w:separator/>
      </w:r>
    </w:p>
  </w:endnote>
  <w:endnote w:type="continuationSeparator" w:id="0">
    <w:p w14:paraId="6D33236D" w14:textId="77777777" w:rsidR="00BB5879" w:rsidRDefault="00BB5879" w:rsidP="00085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D7E3" w14:textId="3AC76E92" w:rsidR="001951AD" w:rsidRDefault="001951AD" w:rsidP="00AE49FD">
    <w:pPr>
      <w:pStyle w:val="Piedepgina"/>
      <w:jc w:val="center"/>
    </w:pPr>
    <w:r>
      <w:rPr>
        <w:noProof/>
      </w:rPr>
      <w:drawing>
        <wp:inline distT="0" distB="0" distL="0" distR="0" wp14:anchorId="584FE9B2" wp14:editId="0CC53519">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heme="minorHAnsi" w:hAnsiTheme="minorHAnsi" w:cstheme="minorHAnsi"/>
        <w:b/>
        <w:sz w:val="22"/>
        <w:szCs w:val="14"/>
      </w:rPr>
      <w:t xml:space="preserve">               </w:t>
    </w:r>
    <w:r w:rsidRPr="00AE49FD">
      <w:rPr>
        <w:rFonts w:asciiTheme="minorHAnsi" w:hAnsiTheme="minorHAnsi" w:cstheme="minorHAnsi"/>
        <w:b/>
        <w:sz w:val="22"/>
        <w:szCs w:val="14"/>
      </w:rPr>
      <w:t xml:space="preserve">Vol. 12, Núm. 22 </w:t>
    </w:r>
    <w:proofErr w:type="gramStart"/>
    <w:r w:rsidRPr="00AE49FD">
      <w:rPr>
        <w:rFonts w:asciiTheme="minorHAnsi" w:hAnsiTheme="minorHAnsi" w:cstheme="minorHAnsi"/>
        <w:b/>
        <w:sz w:val="22"/>
        <w:szCs w:val="14"/>
      </w:rPr>
      <w:t>Enero</w:t>
    </w:r>
    <w:proofErr w:type="gramEnd"/>
    <w:r w:rsidRPr="00AE49FD">
      <w:rPr>
        <w:rFonts w:asciiTheme="minorHAnsi" w:hAnsiTheme="minorHAnsi" w:cstheme="minorHAnsi"/>
        <w:b/>
        <w:sz w:val="22"/>
        <w:szCs w:val="14"/>
      </w:rPr>
      <w:t xml:space="preserve"> - Junio 2021, e</w:t>
    </w:r>
    <w:r w:rsidR="00A4137B">
      <w:rPr>
        <w:rFonts w:asciiTheme="minorHAnsi" w:hAnsiTheme="minorHAnsi" w:cstheme="minorHAnsi"/>
        <w:b/>
        <w:sz w:val="22"/>
        <w:szCs w:val="14"/>
      </w:rPr>
      <w:t>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2DAA" w14:textId="77777777" w:rsidR="00BB5879" w:rsidRDefault="00BB5879" w:rsidP="000850FC">
      <w:pPr>
        <w:spacing w:line="240" w:lineRule="auto"/>
      </w:pPr>
      <w:r>
        <w:separator/>
      </w:r>
    </w:p>
  </w:footnote>
  <w:footnote w:type="continuationSeparator" w:id="0">
    <w:p w14:paraId="5EC39DB6" w14:textId="77777777" w:rsidR="00BB5879" w:rsidRDefault="00BB5879" w:rsidP="000850FC">
      <w:pPr>
        <w:spacing w:line="240" w:lineRule="auto"/>
      </w:pPr>
      <w:r>
        <w:continuationSeparator/>
      </w:r>
    </w:p>
  </w:footnote>
  <w:footnote w:id="1">
    <w:p w14:paraId="5A0089C1" w14:textId="305FF1D8" w:rsidR="001951AD" w:rsidRPr="00302C70" w:rsidRDefault="001951AD" w:rsidP="000850FC">
      <w:pPr>
        <w:pStyle w:val="Textonotapie"/>
        <w:rPr>
          <w:lang w:val="es-ES"/>
        </w:rPr>
      </w:pPr>
      <w:r>
        <w:rPr>
          <w:rStyle w:val="Refdenotaalpie"/>
        </w:rPr>
        <w:t>*</w:t>
      </w:r>
      <w:r>
        <w:t xml:space="preserve"> </w:t>
      </w:r>
      <w:r>
        <w:rPr>
          <w:lang w:val="es-ES"/>
        </w:rPr>
        <w:t xml:space="preserve">Intrumento disponible en  </w:t>
      </w:r>
      <w:r w:rsidRPr="00CF71FB">
        <w:rPr>
          <w:lang w:val="es-ES"/>
        </w:rPr>
        <w:t>https://bit.ly/3a9WoGt</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E884" w14:textId="539518F3" w:rsidR="001951AD" w:rsidRDefault="001951AD" w:rsidP="00AE49FD">
    <w:pPr>
      <w:pStyle w:val="Encabezado"/>
      <w:jc w:val="center"/>
    </w:pPr>
    <w:r w:rsidRPr="005A563C">
      <w:rPr>
        <w:noProof/>
      </w:rPr>
      <w:drawing>
        <wp:inline distT="0" distB="0" distL="0" distR="0" wp14:anchorId="19EB1226" wp14:editId="6A23F68C">
          <wp:extent cx="5396230" cy="63201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320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5E6"/>
    <w:multiLevelType w:val="hybridMultilevel"/>
    <w:tmpl w:val="3BE090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7BD389D"/>
    <w:multiLevelType w:val="hybridMultilevel"/>
    <w:tmpl w:val="1E6681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DB2950"/>
    <w:multiLevelType w:val="hybridMultilevel"/>
    <w:tmpl w:val="F38245C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594E5CF9"/>
    <w:multiLevelType w:val="hybridMultilevel"/>
    <w:tmpl w:val="A3080534"/>
    <w:lvl w:ilvl="0" w:tplc="04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6B5620E6"/>
    <w:multiLevelType w:val="hybridMultilevel"/>
    <w:tmpl w:val="5CC42DCE"/>
    <w:lvl w:ilvl="0" w:tplc="ED825CE6">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FC"/>
    <w:rsid w:val="000850FC"/>
    <w:rsid w:val="000E0596"/>
    <w:rsid w:val="001951AD"/>
    <w:rsid w:val="0020102B"/>
    <w:rsid w:val="00207C58"/>
    <w:rsid w:val="002226F3"/>
    <w:rsid w:val="00271854"/>
    <w:rsid w:val="00294F3C"/>
    <w:rsid w:val="002C01C1"/>
    <w:rsid w:val="003D351B"/>
    <w:rsid w:val="004950D3"/>
    <w:rsid w:val="004A5134"/>
    <w:rsid w:val="005C19DE"/>
    <w:rsid w:val="00666C3C"/>
    <w:rsid w:val="00691C8D"/>
    <w:rsid w:val="00713F80"/>
    <w:rsid w:val="00727258"/>
    <w:rsid w:val="00731D24"/>
    <w:rsid w:val="00733553"/>
    <w:rsid w:val="00734AD7"/>
    <w:rsid w:val="007A1D68"/>
    <w:rsid w:val="007A7428"/>
    <w:rsid w:val="007C50B5"/>
    <w:rsid w:val="007F649E"/>
    <w:rsid w:val="008864FC"/>
    <w:rsid w:val="008877D4"/>
    <w:rsid w:val="008900D5"/>
    <w:rsid w:val="009B045F"/>
    <w:rsid w:val="009D51A6"/>
    <w:rsid w:val="00A166FF"/>
    <w:rsid w:val="00A4137B"/>
    <w:rsid w:val="00A81D75"/>
    <w:rsid w:val="00AE49FD"/>
    <w:rsid w:val="00B324BD"/>
    <w:rsid w:val="00B92B04"/>
    <w:rsid w:val="00BA3551"/>
    <w:rsid w:val="00BB5879"/>
    <w:rsid w:val="00BE06E3"/>
    <w:rsid w:val="00C24069"/>
    <w:rsid w:val="00C612D8"/>
    <w:rsid w:val="00C9485B"/>
    <w:rsid w:val="00CF71FB"/>
    <w:rsid w:val="00D60B33"/>
    <w:rsid w:val="00D61A55"/>
    <w:rsid w:val="00DE58AF"/>
    <w:rsid w:val="00E166A6"/>
    <w:rsid w:val="00E44DB4"/>
    <w:rsid w:val="00EB4E77"/>
    <w:rsid w:val="00F408C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29F5A"/>
  <w15:docId w15:val="{7A2891C6-F917-42D3-ACD9-C20B82B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FC"/>
    <w:pPr>
      <w:spacing w:after="0" w:line="360" w:lineRule="auto"/>
      <w:jc w:val="both"/>
    </w:pPr>
    <w:rPr>
      <w:rFonts w:ascii="Times New Roman" w:hAnsi="Times New Roman"/>
      <w:sz w:val="24"/>
      <w:szCs w:val="24"/>
      <w:lang w:val="es-MX"/>
    </w:rPr>
  </w:style>
  <w:style w:type="paragraph" w:styleId="Ttulo3">
    <w:name w:val="heading 3"/>
    <w:basedOn w:val="Normal"/>
    <w:next w:val="Normal"/>
    <w:link w:val="Ttulo3Car"/>
    <w:uiPriority w:val="9"/>
    <w:semiHidden/>
    <w:unhideWhenUsed/>
    <w:qFormat/>
    <w:rsid w:val="00727258"/>
    <w:pPr>
      <w:keepNext/>
      <w:keepLines/>
      <w:spacing w:before="40"/>
      <w:outlineLvl w:val="2"/>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9"/>
    <w:qFormat/>
    <w:rsid w:val="000850FC"/>
    <w:pPr>
      <w:spacing w:line="480" w:lineRule="auto"/>
      <w:outlineLvl w:val="6"/>
    </w:pPr>
    <w:rPr>
      <w:rFonts w:eastAsia="Calibri" w:cs="Times New Roman"/>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0850FC"/>
    <w:rPr>
      <w:rFonts w:ascii="Times New Roman" w:eastAsia="Calibri" w:hAnsi="Times New Roman" w:cs="Times New Roman"/>
      <w:sz w:val="24"/>
      <w:lang w:val="es-ES"/>
    </w:rPr>
  </w:style>
  <w:style w:type="paragraph" w:styleId="NormalWeb">
    <w:name w:val="Normal (Web)"/>
    <w:basedOn w:val="Normal"/>
    <w:uiPriority w:val="99"/>
    <w:semiHidden/>
    <w:unhideWhenUsed/>
    <w:rsid w:val="000850FC"/>
    <w:pPr>
      <w:spacing w:before="100" w:beforeAutospacing="1" w:after="100" w:afterAutospacing="1"/>
    </w:pPr>
    <w:rPr>
      <w:rFonts w:eastAsia="Times New Roman" w:cs="Times New Roman"/>
      <w:lang w:eastAsia="es-ES_tradnl"/>
    </w:rPr>
  </w:style>
  <w:style w:type="character" w:styleId="Hipervnculo">
    <w:name w:val="Hyperlink"/>
    <w:basedOn w:val="Fuentedeprrafopredeter"/>
    <w:uiPriority w:val="99"/>
    <w:unhideWhenUsed/>
    <w:rsid w:val="000850FC"/>
    <w:rPr>
      <w:color w:val="0000FF"/>
      <w:u w:val="single"/>
    </w:rPr>
  </w:style>
  <w:style w:type="table" w:styleId="Tablaconcuadrcula">
    <w:name w:val="Table Grid"/>
    <w:basedOn w:val="Tablanormal"/>
    <w:uiPriority w:val="39"/>
    <w:rsid w:val="000850F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850FC"/>
    <w:pPr>
      <w:ind w:left="720"/>
      <w:contextualSpacing/>
    </w:pPr>
  </w:style>
  <w:style w:type="paragraph" w:customStyle="1" w:styleId="Bibliografa1">
    <w:name w:val="Bibliografía1"/>
    <w:basedOn w:val="Normal"/>
    <w:link w:val="BibliographyCar"/>
    <w:rsid w:val="000850FC"/>
    <w:pPr>
      <w:spacing w:line="480" w:lineRule="auto"/>
      <w:ind w:left="720" w:hanging="720"/>
    </w:pPr>
    <w:rPr>
      <w:rFonts w:cs="Times New Roman"/>
    </w:rPr>
  </w:style>
  <w:style w:type="character" w:customStyle="1" w:styleId="BibliographyCar">
    <w:name w:val="Bibliography Car"/>
    <w:basedOn w:val="Fuentedeprrafopredeter"/>
    <w:link w:val="Bibliografa1"/>
    <w:rsid w:val="000850FC"/>
    <w:rPr>
      <w:rFonts w:ascii="Times New Roman" w:hAnsi="Times New Roman" w:cs="Times New Roman"/>
      <w:sz w:val="24"/>
      <w:szCs w:val="24"/>
      <w:lang w:val="es-MX"/>
    </w:rPr>
  </w:style>
  <w:style w:type="character" w:styleId="CitaHTML">
    <w:name w:val="HTML Cite"/>
    <w:basedOn w:val="Fuentedeprrafopredeter"/>
    <w:uiPriority w:val="99"/>
    <w:rsid w:val="000850FC"/>
    <w:rPr>
      <w:rFonts w:cs="Times New Roman"/>
      <w:i/>
      <w:iCs/>
    </w:rPr>
  </w:style>
  <w:style w:type="paragraph" w:styleId="Textonotapie">
    <w:name w:val="footnote text"/>
    <w:basedOn w:val="Normal"/>
    <w:link w:val="TextonotapieCar"/>
    <w:uiPriority w:val="99"/>
    <w:unhideWhenUsed/>
    <w:rsid w:val="000850FC"/>
    <w:pPr>
      <w:spacing w:line="240" w:lineRule="auto"/>
    </w:pPr>
  </w:style>
  <w:style w:type="character" w:customStyle="1" w:styleId="TextonotapieCar">
    <w:name w:val="Texto nota pie Car"/>
    <w:basedOn w:val="Fuentedeprrafopredeter"/>
    <w:link w:val="Textonotapie"/>
    <w:uiPriority w:val="99"/>
    <w:rsid w:val="000850FC"/>
    <w:rPr>
      <w:rFonts w:ascii="Times New Roman" w:hAnsi="Times New Roman"/>
      <w:sz w:val="24"/>
      <w:szCs w:val="24"/>
      <w:lang w:val="es-MX"/>
    </w:rPr>
  </w:style>
  <w:style w:type="character" w:styleId="Refdenotaalpie">
    <w:name w:val="footnote reference"/>
    <w:basedOn w:val="Fuentedeprrafopredeter"/>
    <w:uiPriority w:val="99"/>
    <w:unhideWhenUsed/>
    <w:rsid w:val="000850FC"/>
    <w:rPr>
      <w:vertAlign w:val="superscript"/>
    </w:rPr>
  </w:style>
  <w:style w:type="paragraph" w:customStyle="1" w:styleId="Bibliografa2">
    <w:name w:val="Bibliografía2"/>
    <w:basedOn w:val="Normal"/>
    <w:link w:val="BibliographyCar1"/>
    <w:rsid w:val="000850FC"/>
    <w:pPr>
      <w:spacing w:line="480" w:lineRule="auto"/>
      <w:ind w:left="720" w:hanging="720"/>
      <w:jc w:val="left"/>
    </w:pPr>
    <w:rPr>
      <w:rFonts w:cs="Times New Roman"/>
    </w:rPr>
  </w:style>
  <w:style w:type="character" w:customStyle="1" w:styleId="BibliographyCar1">
    <w:name w:val="Bibliography Car1"/>
    <w:basedOn w:val="Fuentedeprrafopredeter"/>
    <w:link w:val="Bibliografa2"/>
    <w:rsid w:val="000850FC"/>
    <w:rPr>
      <w:rFonts w:ascii="Times New Roman" w:hAnsi="Times New Roman" w:cs="Times New Roman"/>
      <w:sz w:val="24"/>
      <w:szCs w:val="24"/>
      <w:lang w:val="es-MX"/>
    </w:rPr>
  </w:style>
  <w:style w:type="paragraph" w:customStyle="1" w:styleId="Bibliografa3">
    <w:name w:val="Bibliografía3"/>
    <w:basedOn w:val="Normal"/>
    <w:link w:val="BibliographyCar2"/>
    <w:rsid w:val="000850FC"/>
    <w:pPr>
      <w:spacing w:after="240" w:line="240" w:lineRule="auto"/>
      <w:ind w:left="720" w:hanging="720"/>
    </w:pPr>
    <w:rPr>
      <w:rFonts w:cs="Times New Roman"/>
      <w:lang w:val="es-ES"/>
    </w:rPr>
  </w:style>
  <w:style w:type="character" w:customStyle="1" w:styleId="BibliographyCar2">
    <w:name w:val="Bibliography Car2"/>
    <w:basedOn w:val="Fuentedeprrafopredeter"/>
    <w:link w:val="Bibliografa3"/>
    <w:rsid w:val="000850FC"/>
    <w:rPr>
      <w:rFonts w:ascii="Times New Roman" w:hAnsi="Times New Roman" w:cs="Times New Roman"/>
      <w:sz w:val="24"/>
      <w:szCs w:val="24"/>
      <w:lang w:val="es-ES"/>
    </w:rPr>
  </w:style>
  <w:style w:type="paragraph" w:customStyle="1" w:styleId="Bibliografa4">
    <w:name w:val="Bibliografía4"/>
    <w:basedOn w:val="Normal"/>
    <w:link w:val="BibliographyCar3"/>
    <w:rsid w:val="000850FC"/>
    <w:pPr>
      <w:spacing w:line="480" w:lineRule="auto"/>
      <w:ind w:left="720" w:hanging="720"/>
    </w:pPr>
    <w:rPr>
      <w:rFonts w:cs="Times New Roman"/>
      <w:lang w:val="es-ES"/>
    </w:rPr>
  </w:style>
  <w:style w:type="character" w:customStyle="1" w:styleId="BibliographyCar3">
    <w:name w:val="Bibliography Car3"/>
    <w:basedOn w:val="Fuentedeprrafopredeter"/>
    <w:link w:val="Bibliografa4"/>
    <w:rsid w:val="000850FC"/>
    <w:rPr>
      <w:rFonts w:ascii="Times New Roman" w:hAnsi="Times New Roman" w:cs="Times New Roman"/>
      <w:sz w:val="24"/>
      <w:szCs w:val="24"/>
      <w:lang w:val="es-ES"/>
    </w:rPr>
  </w:style>
  <w:style w:type="paragraph" w:styleId="Encabezado">
    <w:name w:val="header"/>
    <w:basedOn w:val="Normal"/>
    <w:link w:val="EncabezadoCar"/>
    <w:uiPriority w:val="99"/>
    <w:unhideWhenUsed/>
    <w:rsid w:val="000850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850FC"/>
    <w:rPr>
      <w:rFonts w:ascii="Times New Roman" w:hAnsi="Times New Roman"/>
      <w:sz w:val="24"/>
      <w:szCs w:val="24"/>
      <w:lang w:val="es-MX"/>
    </w:rPr>
  </w:style>
  <w:style w:type="paragraph" w:styleId="Piedepgina">
    <w:name w:val="footer"/>
    <w:basedOn w:val="Normal"/>
    <w:link w:val="PiedepginaCar"/>
    <w:uiPriority w:val="99"/>
    <w:unhideWhenUsed/>
    <w:rsid w:val="000850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850FC"/>
    <w:rPr>
      <w:rFonts w:ascii="Times New Roman" w:hAnsi="Times New Roman"/>
      <w:sz w:val="24"/>
      <w:szCs w:val="24"/>
      <w:lang w:val="es-MX"/>
    </w:rPr>
  </w:style>
  <w:style w:type="paragraph" w:styleId="Textodeglobo">
    <w:name w:val="Balloon Text"/>
    <w:basedOn w:val="Normal"/>
    <w:link w:val="TextodegloboCar"/>
    <w:uiPriority w:val="99"/>
    <w:semiHidden/>
    <w:unhideWhenUsed/>
    <w:rsid w:val="000850FC"/>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0850FC"/>
    <w:rPr>
      <w:rFonts w:ascii="Times New Roman" w:hAnsi="Times New Roman" w:cs="Times New Roman"/>
      <w:sz w:val="18"/>
      <w:szCs w:val="18"/>
      <w:lang w:val="es-MX"/>
    </w:rPr>
  </w:style>
  <w:style w:type="paragraph" w:styleId="Revisin">
    <w:name w:val="Revision"/>
    <w:hidden/>
    <w:uiPriority w:val="99"/>
    <w:semiHidden/>
    <w:rsid w:val="000850FC"/>
    <w:pPr>
      <w:spacing w:after="0" w:line="240" w:lineRule="auto"/>
    </w:pPr>
    <w:rPr>
      <w:rFonts w:ascii="Times New Roman" w:hAnsi="Times New Roman"/>
      <w:sz w:val="24"/>
      <w:szCs w:val="24"/>
      <w:lang w:val="es-MX"/>
    </w:rPr>
  </w:style>
  <w:style w:type="character" w:customStyle="1" w:styleId="Mencinsinresolver1">
    <w:name w:val="Mención sin resolver1"/>
    <w:basedOn w:val="Fuentedeprrafopredeter"/>
    <w:uiPriority w:val="99"/>
    <w:rsid w:val="000850FC"/>
    <w:rPr>
      <w:color w:val="605E5C"/>
      <w:shd w:val="clear" w:color="auto" w:fill="E1DFDD"/>
    </w:rPr>
  </w:style>
  <w:style w:type="character" w:styleId="Refdecomentario">
    <w:name w:val="annotation reference"/>
    <w:basedOn w:val="Fuentedeprrafopredeter"/>
    <w:uiPriority w:val="99"/>
    <w:semiHidden/>
    <w:unhideWhenUsed/>
    <w:rsid w:val="000850FC"/>
    <w:rPr>
      <w:sz w:val="16"/>
      <w:szCs w:val="16"/>
    </w:rPr>
  </w:style>
  <w:style w:type="paragraph" w:styleId="Textocomentario">
    <w:name w:val="annotation text"/>
    <w:basedOn w:val="Normal"/>
    <w:link w:val="TextocomentarioCar"/>
    <w:uiPriority w:val="99"/>
    <w:semiHidden/>
    <w:unhideWhenUsed/>
    <w:rsid w:val="000850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50FC"/>
    <w:rPr>
      <w:rFonts w:ascii="Times New Roman" w:hAnsi="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50FC"/>
    <w:rPr>
      <w:b/>
      <w:bCs/>
    </w:rPr>
  </w:style>
  <w:style w:type="character" w:customStyle="1" w:styleId="AsuntodelcomentarioCar">
    <w:name w:val="Asunto del comentario Car"/>
    <w:basedOn w:val="TextocomentarioCar"/>
    <w:link w:val="Asuntodelcomentario"/>
    <w:uiPriority w:val="99"/>
    <w:semiHidden/>
    <w:rsid w:val="000850FC"/>
    <w:rPr>
      <w:rFonts w:ascii="Times New Roman" w:hAnsi="Times New Roman"/>
      <w:b/>
      <w:bCs/>
      <w:sz w:val="20"/>
      <w:szCs w:val="20"/>
      <w:lang w:val="es-MX"/>
    </w:rPr>
  </w:style>
  <w:style w:type="paragraph" w:styleId="HTMLconformatoprevio">
    <w:name w:val="HTML Preformatted"/>
    <w:basedOn w:val="Normal"/>
    <w:link w:val="HTMLconformatoprevioCar"/>
    <w:uiPriority w:val="99"/>
    <w:unhideWhenUsed/>
    <w:rsid w:val="00AE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E49FD"/>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semiHidden/>
    <w:rsid w:val="00727258"/>
    <w:rPr>
      <w:rFonts w:asciiTheme="majorHAnsi" w:eastAsiaTheme="majorEastAsia" w:hAnsiTheme="majorHAnsi" w:cstheme="majorBidi"/>
      <w:color w:val="243F60" w:themeColor="accent1" w:themeShade="7F"/>
      <w:sz w:val="24"/>
      <w:szCs w:val="24"/>
      <w:lang w:val="es-MX"/>
    </w:rPr>
  </w:style>
  <w:style w:type="character" w:styleId="Mencinsinresolver">
    <w:name w:val="Unresolved Mention"/>
    <w:basedOn w:val="Fuentedeprrafopredeter"/>
    <w:uiPriority w:val="99"/>
    <w:semiHidden/>
    <w:unhideWhenUsed/>
    <w:rsid w:val="0072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79934">
      <w:bodyDiv w:val="1"/>
      <w:marLeft w:val="0"/>
      <w:marRight w:val="0"/>
      <w:marTop w:val="0"/>
      <w:marBottom w:val="0"/>
      <w:divBdr>
        <w:top w:val="none" w:sz="0" w:space="0" w:color="auto"/>
        <w:left w:val="none" w:sz="0" w:space="0" w:color="auto"/>
        <w:bottom w:val="none" w:sz="0" w:space="0" w:color="auto"/>
        <w:right w:val="none" w:sz="0" w:space="0" w:color="auto"/>
      </w:divBdr>
      <w:divsChild>
        <w:div w:id="347021177">
          <w:marLeft w:val="0"/>
          <w:marRight w:val="0"/>
          <w:marTop w:val="0"/>
          <w:marBottom w:val="0"/>
          <w:divBdr>
            <w:top w:val="none" w:sz="0" w:space="0" w:color="auto"/>
            <w:left w:val="none" w:sz="0" w:space="0" w:color="auto"/>
            <w:bottom w:val="none" w:sz="0" w:space="0" w:color="auto"/>
            <w:right w:val="none" w:sz="0" w:space="0" w:color="auto"/>
          </w:divBdr>
          <w:divsChild>
            <w:div w:id="1503279245">
              <w:marLeft w:val="0"/>
              <w:marRight w:val="0"/>
              <w:marTop w:val="0"/>
              <w:marBottom w:val="0"/>
              <w:divBdr>
                <w:top w:val="none" w:sz="0" w:space="0" w:color="auto"/>
                <w:left w:val="none" w:sz="0" w:space="0" w:color="auto"/>
                <w:bottom w:val="none" w:sz="0" w:space="0" w:color="auto"/>
                <w:right w:val="none" w:sz="0" w:space="0" w:color="auto"/>
              </w:divBdr>
              <w:divsChild>
                <w:div w:id="194658047">
                  <w:marLeft w:val="0"/>
                  <w:marRight w:val="0"/>
                  <w:marTop w:val="0"/>
                  <w:marBottom w:val="0"/>
                  <w:divBdr>
                    <w:top w:val="none" w:sz="0" w:space="0" w:color="auto"/>
                    <w:left w:val="none" w:sz="0" w:space="0" w:color="auto"/>
                    <w:bottom w:val="none" w:sz="0" w:space="0" w:color="auto"/>
                    <w:right w:val="none" w:sz="0" w:space="0" w:color="auto"/>
                  </w:divBdr>
                  <w:divsChild>
                    <w:div w:id="16154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27</Pages>
  <Words>17627</Words>
  <Characters>96949</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Gustavo Toledo</cp:lastModifiedBy>
  <cp:revision>9</cp:revision>
  <dcterms:created xsi:type="dcterms:W3CDTF">2021-05-30T20:49:00Z</dcterms:created>
  <dcterms:modified xsi:type="dcterms:W3CDTF">2021-06-12T18:11:00Z</dcterms:modified>
</cp:coreProperties>
</file>